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3ACB" w14:textId="77777777" w:rsidR="00047EF5" w:rsidRPr="00736B49" w:rsidRDefault="00047EF5" w:rsidP="00047EF5">
      <w:pPr>
        <w:jc w:val="center"/>
        <w:rPr>
          <w:b/>
          <w:bCs/>
          <w:sz w:val="32"/>
          <w:szCs w:val="32"/>
        </w:rPr>
      </w:pPr>
      <w:bookmarkStart w:id="0" w:name="_GoBack"/>
      <w:bookmarkEnd w:id="0"/>
      <w:r w:rsidRPr="00736B49">
        <w:rPr>
          <w:b/>
          <w:bCs/>
          <w:sz w:val="32"/>
          <w:szCs w:val="32"/>
        </w:rPr>
        <w:t xml:space="preserve">Lietuvos savivaldybių asociacijos siūlomos priemonės </w:t>
      </w:r>
    </w:p>
    <w:p w14:paraId="4CF6B8BF" w14:textId="1DC31DDD" w:rsidR="00044268" w:rsidRPr="00736B49" w:rsidRDefault="00047EF5" w:rsidP="00044268">
      <w:pPr>
        <w:jc w:val="center"/>
        <w:rPr>
          <w:b/>
          <w:bCs/>
          <w:sz w:val="32"/>
          <w:szCs w:val="32"/>
        </w:rPr>
      </w:pPr>
      <w:r w:rsidRPr="00736B49">
        <w:rPr>
          <w:b/>
          <w:bCs/>
          <w:sz w:val="32"/>
          <w:szCs w:val="32"/>
        </w:rPr>
        <w:t xml:space="preserve">XVIII – </w:t>
      </w:r>
      <w:proofErr w:type="spellStart"/>
      <w:r w:rsidRPr="00736B49">
        <w:rPr>
          <w:b/>
          <w:bCs/>
          <w:sz w:val="32"/>
          <w:szCs w:val="32"/>
        </w:rPr>
        <w:t>osios</w:t>
      </w:r>
      <w:proofErr w:type="spellEnd"/>
      <w:r w:rsidRPr="00736B49">
        <w:rPr>
          <w:b/>
          <w:bCs/>
          <w:sz w:val="32"/>
          <w:szCs w:val="32"/>
        </w:rPr>
        <w:t xml:space="preserve"> Lietuvos Respublikos Vyriausybės programos įgyvendinimo planui </w:t>
      </w:r>
    </w:p>
    <w:p w14:paraId="5A34A190" w14:textId="2C56A1AE" w:rsidR="00047EF5" w:rsidRDefault="00047EF5" w:rsidP="00047EF5">
      <w:pPr>
        <w:rPr>
          <w:b/>
          <w:bCs/>
          <w:sz w:val="28"/>
          <w:szCs w:val="28"/>
        </w:rPr>
      </w:pPr>
    </w:p>
    <w:tbl>
      <w:tblPr>
        <w:tblStyle w:val="Lentelstinklelis"/>
        <w:tblW w:w="15163" w:type="dxa"/>
        <w:tblLayout w:type="fixed"/>
        <w:tblLook w:val="04A0" w:firstRow="1" w:lastRow="0" w:firstColumn="1" w:lastColumn="0" w:noHBand="0" w:noVBand="1"/>
      </w:tblPr>
      <w:tblGrid>
        <w:gridCol w:w="3256"/>
        <w:gridCol w:w="5953"/>
        <w:gridCol w:w="1418"/>
        <w:gridCol w:w="4536"/>
      </w:tblGrid>
      <w:tr w:rsidR="00044268" w:rsidRPr="00806533" w14:paraId="7FFE0222" w14:textId="77777777" w:rsidTr="004905E2">
        <w:trPr>
          <w:trHeight w:val="218"/>
        </w:trPr>
        <w:tc>
          <w:tcPr>
            <w:tcW w:w="15163" w:type="dxa"/>
            <w:gridSpan w:val="4"/>
            <w:shd w:val="clear" w:color="auto" w:fill="FFFF00"/>
          </w:tcPr>
          <w:p w14:paraId="68A794A2" w14:textId="77777777" w:rsidR="00044268" w:rsidRPr="00806533" w:rsidRDefault="00044268" w:rsidP="004905E2">
            <w:pPr>
              <w:jc w:val="center"/>
              <w:rPr>
                <w:b/>
                <w:bCs/>
                <w:szCs w:val="24"/>
              </w:rPr>
            </w:pPr>
            <w:r w:rsidRPr="00806533">
              <w:rPr>
                <w:b/>
                <w:bCs/>
                <w:szCs w:val="24"/>
              </w:rPr>
              <w:t>ŠVIETIMAS</w:t>
            </w:r>
          </w:p>
        </w:tc>
      </w:tr>
      <w:tr w:rsidR="00044268" w:rsidRPr="00806533" w14:paraId="4ADF019A" w14:textId="77777777" w:rsidTr="004905E2">
        <w:trPr>
          <w:trHeight w:val="481"/>
        </w:trPr>
        <w:tc>
          <w:tcPr>
            <w:tcW w:w="3256" w:type="dxa"/>
            <w:shd w:val="clear" w:color="auto" w:fill="D9D9D9" w:themeFill="background1" w:themeFillShade="D9"/>
          </w:tcPr>
          <w:p w14:paraId="4EA4D926" w14:textId="77777777" w:rsidR="00044268" w:rsidRDefault="00044268" w:rsidP="004905E2">
            <w:pPr>
              <w:jc w:val="both"/>
              <w:rPr>
                <w:b/>
                <w:bCs/>
                <w:sz w:val="20"/>
              </w:rPr>
            </w:pPr>
            <w:r w:rsidRPr="00806533">
              <w:rPr>
                <w:b/>
                <w:bCs/>
                <w:sz w:val="20"/>
              </w:rPr>
              <w:t>LRV programos prioritetas</w:t>
            </w:r>
          </w:p>
          <w:p w14:paraId="252B57F4" w14:textId="77777777" w:rsidR="00044268" w:rsidRPr="00806533" w:rsidRDefault="00044268" w:rsidP="004905E2">
            <w:pPr>
              <w:rPr>
                <w:b/>
                <w:bCs/>
                <w:sz w:val="20"/>
              </w:rPr>
            </w:pPr>
          </w:p>
        </w:tc>
        <w:tc>
          <w:tcPr>
            <w:tcW w:w="5953" w:type="dxa"/>
            <w:shd w:val="clear" w:color="auto" w:fill="D9D9D9" w:themeFill="background1" w:themeFillShade="D9"/>
          </w:tcPr>
          <w:p w14:paraId="0AD9FA9E" w14:textId="77777777" w:rsidR="00044268" w:rsidRPr="00806533" w:rsidRDefault="00044268" w:rsidP="004905E2">
            <w:pPr>
              <w:rPr>
                <w:b/>
                <w:bCs/>
                <w:sz w:val="20"/>
              </w:rPr>
            </w:pPr>
            <w:r w:rsidRPr="00806533">
              <w:rPr>
                <w:b/>
                <w:bCs/>
                <w:sz w:val="20"/>
              </w:rPr>
              <w:t>LSA siūloma priemonė</w:t>
            </w:r>
          </w:p>
        </w:tc>
        <w:tc>
          <w:tcPr>
            <w:tcW w:w="1418" w:type="dxa"/>
            <w:shd w:val="clear" w:color="auto" w:fill="D9D9D9" w:themeFill="background1" w:themeFillShade="D9"/>
          </w:tcPr>
          <w:p w14:paraId="6770441B" w14:textId="77777777" w:rsidR="00044268" w:rsidRPr="00806533" w:rsidRDefault="00044268" w:rsidP="004905E2">
            <w:pPr>
              <w:rPr>
                <w:b/>
                <w:bCs/>
                <w:sz w:val="20"/>
              </w:rPr>
            </w:pPr>
            <w:r>
              <w:rPr>
                <w:b/>
                <w:bCs/>
                <w:sz w:val="20"/>
              </w:rPr>
              <w:t>Atsakinga institucija</w:t>
            </w:r>
          </w:p>
        </w:tc>
        <w:tc>
          <w:tcPr>
            <w:tcW w:w="4536" w:type="dxa"/>
            <w:shd w:val="clear" w:color="auto" w:fill="D9D9D9" w:themeFill="background1" w:themeFillShade="D9"/>
          </w:tcPr>
          <w:p w14:paraId="58F1AF4D" w14:textId="77777777" w:rsidR="00044268" w:rsidRPr="00806533" w:rsidRDefault="00044268" w:rsidP="004905E2">
            <w:pPr>
              <w:jc w:val="both"/>
              <w:rPr>
                <w:b/>
                <w:bCs/>
                <w:sz w:val="20"/>
              </w:rPr>
            </w:pPr>
            <w:r w:rsidRPr="00806533">
              <w:rPr>
                <w:b/>
                <w:bCs/>
                <w:sz w:val="20"/>
              </w:rPr>
              <w:t>Priemonės sąsaja su</w:t>
            </w:r>
            <w:r>
              <w:rPr>
                <w:b/>
                <w:bCs/>
                <w:sz w:val="20"/>
              </w:rPr>
              <w:t xml:space="preserve"> NPP tikslais</w:t>
            </w:r>
            <w:r w:rsidRPr="00806533">
              <w:rPr>
                <w:b/>
                <w:bCs/>
                <w:sz w:val="20"/>
              </w:rPr>
              <w:t>, E</w:t>
            </w:r>
            <w:r>
              <w:rPr>
                <w:b/>
                <w:bCs/>
                <w:sz w:val="20"/>
              </w:rPr>
              <w:t>T</w:t>
            </w:r>
            <w:r w:rsidRPr="00806533">
              <w:rPr>
                <w:b/>
                <w:bCs/>
                <w:sz w:val="20"/>
              </w:rPr>
              <w:t xml:space="preserve"> rekomendacijom</w:t>
            </w:r>
            <w:r>
              <w:rPr>
                <w:b/>
                <w:bCs/>
                <w:sz w:val="20"/>
              </w:rPr>
              <w:t>is Lietuvai</w:t>
            </w:r>
            <w:r w:rsidRPr="00806533">
              <w:rPr>
                <w:b/>
                <w:bCs/>
                <w:sz w:val="20"/>
              </w:rPr>
              <w:t>, RRF prioritetais</w:t>
            </w:r>
          </w:p>
        </w:tc>
      </w:tr>
      <w:tr w:rsidR="00044268" w:rsidRPr="00806533" w14:paraId="04FF7337" w14:textId="77777777" w:rsidTr="004905E2">
        <w:trPr>
          <w:trHeight w:val="711"/>
        </w:trPr>
        <w:tc>
          <w:tcPr>
            <w:tcW w:w="3256" w:type="dxa"/>
            <w:shd w:val="clear" w:color="auto" w:fill="FFFFFF" w:themeFill="background1"/>
          </w:tcPr>
          <w:p w14:paraId="684D489C" w14:textId="77777777" w:rsidR="00044268" w:rsidRPr="005D04F0" w:rsidRDefault="00044268" w:rsidP="004905E2">
            <w:pPr>
              <w:spacing w:after="120"/>
              <w:rPr>
                <w:sz w:val="20"/>
              </w:rPr>
            </w:pPr>
            <w:r w:rsidRPr="00806533">
              <w:rPr>
                <w:iCs/>
                <w:sz w:val="20"/>
              </w:rPr>
              <w:t>2</w:t>
            </w:r>
            <w:r w:rsidRPr="005D04F0">
              <w:rPr>
                <w:iCs/>
                <w:sz w:val="20"/>
              </w:rPr>
              <w:t xml:space="preserve">.1. </w:t>
            </w:r>
            <w:r w:rsidRPr="005D04F0">
              <w:rPr>
                <w:sz w:val="20"/>
              </w:rPr>
              <w:t xml:space="preserve">Projektas:  visiems prieinamas, kokybiškas ankstyvasis ugdymas. </w:t>
            </w:r>
          </w:p>
        </w:tc>
        <w:tc>
          <w:tcPr>
            <w:tcW w:w="5953" w:type="dxa"/>
            <w:shd w:val="clear" w:color="auto" w:fill="FFFFFF" w:themeFill="background1"/>
          </w:tcPr>
          <w:p w14:paraId="77E77670" w14:textId="77777777" w:rsidR="00044268" w:rsidRPr="00302B3A" w:rsidRDefault="00044268" w:rsidP="004905E2">
            <w:pPr>
              <w:spacing w:after="120"/>
              <w:rPr>
                <w:sz w:val="20"/>
              </w:rPr>
            </w:pPr>
            <w:r>
              <w:rPr>
                <w:sz w:val="20"/>
              </w:rPr>
              <w:t>Įgyvendinti a</w:t>
            </w:r>
            <w:r w:rsidRPr="00302B3A">
              <w:rPr>
                <w:sz w:val="20"/>
              </w:rPr>
              <w:t>nkstyvojo ugdymo reform</w:t>
            </w:r>
            <w:r>
              <w:rPr>
                <w:sz w:val="20"/>
              </w:rPr>
              <w:t>ą</w:t>
            </w:r>
            <w:r w:rsidRPr="00302B3A">
              <w:rPr>
                <w:sz w:val="20"/>
              </w:rPr>
              <w:t xml:space="preserve">. </w:t>
            </w:r>
            <w:r w:rsidRPr="003B3C84">
              <w:rPr>
                <w:sz w:val="20"/>
              </w:rPr>
              <w:t>Parengti darželių plėtros programą, užtikrinant investicijas į patalpų pritaikymą, naujų darželių ar mobilių darželių statybą, tam panaudojant ES struktūrinių fondų lėšas.</w:t>
            </w:r>
          </w:p>
        </w:tc>
        <w:tc>
          <w:tcPr>
            <w:tcW w:w="1418" w:type="dxa"/>
            <w:shd w:val="clear" w:color="auto" w:fill="FFFFFF" w:themeFill="background1"/>
          </w:tcPr>
          <w:p w14:paraId="05B7AADD" w14:textId="77777777" w:rsidR="00044268" w:rsidRPr="00806533" w:rsidRDefault="00044268" w:rsidP="004905E2">
            <w:pPr>
              <w:spacing w:after="120"/>
              <w:jc w:val="both"/>
              <w:rPr>
                <w:sz w:val="20"/>
              </w:rPr>
            </w:pPr>
            <w:r>
              <w:rPr>
                <w:sz w:val="20"/>
              </w:rPr>
              <w:t>ŠMSM</w:t>
            </w:r>
          </w:p>
        </w:tc>
        <w:tc>
          <w:tcPr>
            <w:tcW w:w="4536" w:type="dxa"/>
            <w:vMerge w:val="restart"/>
            <w:shd w:val="clear" w:color="auto" w:fill="FFFFFF" w:themeFill="background1"/>
          </w:tcPr>
          <w:p w14:paraId="7222A3A5" w14:textId="77777777" w:rsidR="00044268" w:rsidRDefault="00044268" w:rsidP="004905E2">
            <w:pPr>
              <w:spacing w:after="120"/>
              <w:rPr>
                <w:b/>
                <w:sz w:val="20"/>
              </w:rPr>
            </w:pPr>
            <w:r w:rsidRPr="004952E2">
              <w:rPr>
                <w:b/>
                <w:bCs/>
                <w:sz w:val="20"/>
              </w:rPr>
              <w:t xml:space="preserve">Atitinka </w:t>
            </w:r>
            <w:r w:rsidRPr="004952E2">
              <w:rPr>
                <w:sz w:val="20"/>
              </w:rPr>
              <w:t>net kelis NPP tikslus</w:t>
            </w:r>
            <w:r>
              <w:rPr>
                <w:sz w:val="20"/>
              </w:rPr>
              <w:t>, iš kurių labiausiai:</w:t>
            </w:r>
          </w:p>
          <w:p w14:paraId="35ECD618" w14:textId="77777777" w:rsidR="00044268" w:rsidRDefault="00044268" w:rsidP="004905E2">
            <w:pPr>
              <w:spacing w:after="120"/>
              <w:jc w:val="both"/>
              <w:rPr>
                <w:b/>
                <w:sz w:val="20"/>
              </w:rPr>
            </w:pPr>
            <w:r w:rsidRPr="001507FD">
              <w:rPr>
                <w:b/>
                <w:sz w:val="20"/>
              </w:rPr>
              <w:t>NPP 3 strateginis tikslas.</w:t>
            </w:r>
            <w:r w:rsidRPr="00A661B6">
              <w:rPr>
                <w:sz w:val="20"/>
              </w:rPr>
              <w:t xml:space="preserve"> Didinti švietimo </w:t>
            </w:r>
            <w:proofErr w:type="spellStart"/>
            <w:r w:rsidRPr="00A661B6">
              <w:rPr>
                <w:sz w:val="20"/>
              </w:rPr>
              <w:t>įtrauktį</w:t>
            </w:r>
            <w:proofErr w:type="spellEnd"/>
            <w:r w:rsidRPr="00A661B6">
              <w:rPr>
                <w:sz w:val="20"/>
              </w:rPr>
              <w:t xml:space="preserve"> ir veiksmingumą, siekiant atitikties asmens ir visuomenės poreikiams</w:t>
            </w:r>
            <w:r>
              <w:rPr>
                <w:b/>
                <w:sz w:val="20"/>
              </w:rPr>
              <w:t>.</w:t>
            </w:r>
          </w:p>
          <w:p w14:paraId="59DE38F3" w14:textId="77777777" w:rsidR="00044268" w:rsidRDefault="00044268" w:rsidP="004905E2">
            <w:pPr>
              <w:spacing w:after="120"/>
              <w:jc w:val="both"/>
              <w:rPr>
                <w:b/>
                <w:sz w:val="20"/>
              </w:rPr>
            </w:pPr>
            <w:r w:rsidRPr="00CF5255">
              <w:rPr>
                <w:b/>
                <w:sz w:val="20"/>
              </w:rPr>
              <w:t>NPP 7 strateginis tikslas.</w:t>
            </w:r>
            <w:r w:rsidRPr="00A661B6">
              <w:rPr>
                <w:sz w:val="20"/>
              </w:rPr>
              <w:t xml:space="preserve"> Tvariai </w:t>
            </w:r>
            <w:r w:rsidRPr="003A1D04">
              <w:rPr>
                <w:sz w:val="20"/>
              </w:rPr>
              <w:t>ir subalansuotai vystyti Lietuvos teritoriją ir mažinti regioninę atskirtį</w:t>
            </w:r>
            <w:r>
              <w:rPr>
                <w:b/>
                <w:sz w:val="20"/>
              </w:rPr>
              <w:t>.</w:t>
            </w:r>
          </w:p>
          <w:p w14:paraId="3D3BA123" w14:textId="77777777" w:rsidR="00044268" w:rsidRPr="004F5785" w:rsidRDefault="00044268" w:rsidP="004905E2">
            <w:pPr>
              <w:spacing w:after="120"/>
              <w:jc w:val="both"/>
              <w:rPr>
                <w:bCs/>
                <w:sz w:val="20"/>
              </w:rPr>
            </w:pPr>
            <w:r>
              <w:rPr>
                <w:b/>
                <w:sz w:val="20"/>
              </w:rPr>
              <w:t xml:space="preserve">ET </w:t>
            </w:r>
            <w:r w:rsidRPr="00EB6EC0">
              <w:rPr>
                <w:b/>
                <w:sz w:val="20"/>
              </w:rPr>
              <w:t>2 rekomendacija</w:t>
            </w:r>
            <w:r>
              <w:rPr>
                <w:b/>
                <w:sz w:val="20"/>
              </w:rPr>
              <w:t xml:space="preserve"> (2019)</w:t>
            </w:r>
            <w:r w:rsidRPr="00EB6EC0">
              <w:rPr>
                <w:b/>
                <w:sz w:val="20"/>
              </w:rPr>
              <w:t xml:space="preserve">. </w:t>
            </w:r>
            <w:r w:rsidRPr="004F5785">
              <w:rPr>
                <w:bCs/>
                <w:sz w:val="20"/>
              </w:rPr>
              <w:t>Gerinti visų švietimo ir mokymo sistemos lygmenų, įskaitant suaugusiųjų mokymąsi, kokybę ir didinti jų efektyvumą.</w:t>
            </w:r>
          </w:p>
          <w:p w14:paraId="33A193E8" w14:textId="77777777" w:rsidR="00044268" w:rsidRPr="00EE368A" w:rsidRDefault="00044268" w:rsidP="004905E2">
            <w:pPr>
              <w:spacing w:after="120"/>
              <w:rPr>
                <w:bCs/>
                <w:sz w:val="20"/>
              </w:rPr>
            </w:pPr>
            <w:r>
              <w:rPr>
                <w:b/>
                <w:sz w:val="20"/>
              </w:rPr>
              <w:t xml:space="preserve">Atitinka </w:t>
            </w:r>
            <w:r w:rsidRPr="00D655BB">
              <w:rPr>
                <w:bCs/>
                <w:sz w:val="20"/>
              </w:rPr>
              <w:t>net kelias RRF taikymo sritis, iš kurių labiausiai:</w:t>
            </w:r>
            <w:r>
              <w:rPr>
                <w:bCs/>
                <w:sz w:val="20"/>
              </w:rPr>
              <w:t xml:space="preserve"> </w:t>
            </w:r>
            <w:r w:rsidRPr="009C31B7">
              <w:rPr>
                <w:b/>
                <w:sz w:val="20"/>
              </w:rPr>
              <w:t>švietimas ir įgūdžiai</w:t>
            </w:r>
            <w:r>
              <w:rPr>
                <w:b/>
                <w:sz w:val="20"/>
              </w:rPr>
              <w:t xml:space="preserve">, atsparumas, skaitmeninė pertvarka bei </w:t>
            </w:r>
            <w:r w:rsidRPr="00EE368A">
              <w:rPr>
                <w:b/>
                <w:sz w:val="20"/>
              </w:rPr>
              <w:t>ekonominė, socialinė ir teritorinė sanglauda.</w:t>
            </w:r>
          </w:p>
          <w:p w14:paraId="58B3FD1A" w14:textId="77777777" w:rsidR="00044268" w:rsidRPr="009C31B7" w:rsidRDefault="00044268" w:rsidP="004905E2">
            <w:pPr>
              <w:spacing w:after="120"/>
              <w:jc w:val="both"/>
              <w:rPr>
                <w:bCs/>
                <w:sz w:val="20"/>
              </w:rPr>
            </w:pPr>
          </w:p>
          <w:p w14:paraId="0C01B5C6" w14:textId="77777777" w:rsidR="00044268" w:rsidRDefault="00044268" w:rsidP="004905E2">
            <w:pPr>
              <w:spacing w:after="120"/>
              <w:jc w:val="both"/>
              <w:rPr>
                <w:bCs/>
                <w:sz w:val="20"/>
              </w:rPr>
            </w:pPr>
          </w:p>
          <w:p w14:paraId="38A732EA" w14:textId="77777777" w:rsidR="00044268" w:rsidRDefault="00044268" w:rsidP="004905E2">
            <w:pPr>
              <w:spacing w:after="120"/>
              <w:jc w:val="both"/>
              <w:rPr>
                <w:bCs/>
                <w:sz w:val="20"/>
              </w:rPr>
            </w:pPr>
          </w:p>
          <w:p w14:paraId="01590784" w14:textId="77777777" w:rsidR="00044268" w:rsidRPr="00D655BB" w:rsidRDefault="00044268" w:rsidP="004905E2">
            <w:pPr>
              <w:spacing w:after="120"/>
              <w:jc w:val="both"/>
              <w:rPr>
                <w:bCs/>
                <w:sz w:val="20"/>
              </w:rPr>
            </w:pPr>
          </w:p>
          <w:p w14:paraId="4F81F186" w14:textId="77777777" w:rsidR="00044268" w:rsidRPr="004952E2" w:rsidRDefault="00044268" w:rsidP="004905E2">
            <w:pPr>
              <w:spacing w:after="120"/>
              <w:jc w:val="both"/>
              <w:rPr>
                <w:bCs/>
                <w:sz w:val="20"/>
              </w:rPr>
            </w:pPr>
          </w:p>
          <w:p w14:paraId="471B7FB7" w14:textId="77777777" w:rsidR="00044268" w:rsidRPr="00806533" w:rsidRDefault="00044268" w:rsidP="004905E2">
            <w:pPr>
              <w:spacing w:after="120"/>
              <w:jc w:val="both"/>
              <w:rPr>
                <w:b/>
                <w:bCs/>
                <w:sz w:val="20"/>
              </w:rPr>
            </w:pPr>
          </w:p>
        </w:tc>
      </w:tr>
      <w:tr w:rsidR="00044268" w14:paraId="4B9F2D92" w14:textId="77777777" w:rsidTr="004905E2">
        <w:trPr>
          <w:trHeight w:val="857"/>
        </w:trPr>
        <w:tc>
          <w:tcPr>
            <w:tcW w:w="3256" w:type="dxa"/>
            <w:shd w:val="clear" w:color="auto" w:fill="FFFFFF" w:themeFill="background1"/>
          </w:tcPr>
          <w:p w14:paraId="56F3AF64" w14:textId="77777777" w:rsidR="00044268" w:rsidRPr="005D04F0" w:rsidRDefault="00044268" w:rsidP="004905E2">
            <w:pPr>
              <w:spacing w:after="120"/>
              <w:rPr>
                <w:sz w:val="20"/>
              </w:rPr>
            </w:pPr>
            <w:r w:rsidRPr="005D04F0">
              <w:rPr>
                <w:sz w:val="20"/>
              </w:rPr>
              <w:t>2.1.5. Vaikų, turinčių  specialiųjų poreikių, įtraukimas.</w:t>
            </w:r>
          </w:p>
        </w:tc>
        <w:tc>
          <w:tcPr>
            <w:tcW w:w="5953" w:type="dxa"/>
            <w:shd w:val="clear" w:color="auto" w:fill="FFFFFF" w:themeFill="background1"/>
          </w:tcPr>
          <w:p w14:paraId="5D9C61D3" w14:textId="77777777" w:rsidR="00044268" w:rsidRPr="00302B3A" w:rsidRDefault="00044268" w:rsidP="004905E2">
            <w:pPr>
              <w:spacing w:after="120"/>
              <w:rPr>
                <w:sz w:val="20"/>
              </w:rPr>
            </w:pPr>
            <w:r w:rsidRPr="00302B3A">
              <w:rPr>
                <w:sz w:val="20"/>
              </w:rPr>
              <w:t>Ikimokyklines ir priešmokyklinio ugdymo įstaigas, turinčias specialiųjų poreikių vaikų, aprūpinti geltonaisiais autobusais.</w:t>
            </w:r>
          </w:p>
        </w:tc>
        <w:tc>
          <w:tcPr>
            <w:tcW w:w="1418" w:type="dxa"/>
            <w:shd w:val="clear" w:color="auto" w:fill="FFFFFF" w:themeFill="background1"/>
          </w:tcPr>
          <w:p w14:paraId="5361B4F7"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66685559" w14:textId="77777777" w:rsidR="00044268" w:rsidRDefault="00044268" w:rsidP="004905E2">
            <w:pPr>
              <w:spacing w:after="120"/>
              <w:rPr>
                <w:iCs/>
                <w:sz w:val="20"/>
              </w:rPr>
            </w:pPr>
          </w:p>
        </w:tc>
      </w:tr>
      <w:tr w:rsidR="00044268" w14:paraId="667E2BDF" w14:textId="77777777" w:rsidTr="004905E2">
        <w:trPr>
          <w:trHeight w:val="360"/>
        </w:trPr>
        <w:tc>
          <w:tcPr>
            <w:tcW w:w="3256" w:type="dxa"/>
            <w:shd w:val="clear" w:color="auto" w:fill="FFFFFF" w:themeFill="background1"/>
          </w:tcPr>
          <w:p w14:paraId="34A405A5" w14:textId="77777777" w:rsidR="00044268" w:rsidRDefault="00044268" w:rsidP="004905E2">
            <w:pPr>
              <w:spacing w:after="120"/>
              <w:rPr>
                <w:sz w:val="20"/>
              </w:rPr>
            </w:pPr>
            <w:r w:rsidRPr="00806533">
              <w:rPr>
                <w:iCs/>
                <w:sz w:val="20"/>
              </w:rPr>
              <w:t>2.</w:t>
            </w:r>
            <w:r w:rsidRPr="001C5E08">
              <w:rPr>
                <w:iCs/>
                <w:sz w:val="20"/>
              </w:rPr>
              <w:t xml:space="preserve">2. </w:t>
            </w:r>
            <w:r w:rsidRPr="001C5E08">
              <w:rPr>
                <w:sz w:val="20"/>
              </w:rPr>
              <w:t xml:space="preserve">Projektas: visiems prieinama gera mokykla ir šiuolaikinis ugdymo turinys. </w:t>
            </w:r>
          </w:p>
          <w:p w14:paraId="137948FC" w14:textId="77777777" w:rsidR="00044268" w:rsidRPr="001C5E08" w:rsidRDefault="00044268" w:rsidP="004905E2">
            <w:pPr>
              <w:spacing w:after="120"/>
              <w:rPr>
                <w:sz w:val="20"/>
              </w:rPr>
            </w:pPr>
            <w:r w:rsidRPr="001C5E08">
              <w:rPr>
                <w:sz w:val="20"/>
              </w:rPr>
              <w:t>14.2. Projektas: savivaldybių ekonominio savarankiškumo stiprinimas.</w:t>
            </w:r>
          </w:p>
        </w:tc>
        <w:tc>
          <w:tcPr>
            <w:tcW w:w="5953" w:type="dxa"/>
            <w:shd w:val="clear" w:color="auto" w:fill="FFFFFF" w:themeFill="background1"/>
          </w:tcPr>
          <w:p w14:paraId="2EF1AE4F" w14:textId="77777777" w:rsidR="00044268" w:rsidRPr="001C5E08" w:rsidRDefault="00044268" w:rsidP="004905E2">
            <w:pPr>
              <w:spacing w:after="120"/>
              <w:rPr>
                <w:sz w:val="20"/>
              </w:rPr>
            </w:pPr>
            <w:r w:rsidRPr="001C5E08">
              <w:rPr>
                <w:sz w:val="20"/>
              </w:rPr>
              <w:t>Lėšas skirtas ikimokyklinio, priešmokyklinio ir bendrojo ugdymo reikmėms finansuoti iš tikslinės dotacijos perduoti savivaldybėms kaip savivaldybių savarankiško biudžeto lėšas. Pakeisti Vietos savivaldos įstatymą ir kitus susijusius teisės aktus.</w:t>
            </w:r>
          </w:p>
        </w:tc>
        <w:tc>
          <w:tcPr>
            <w:tcW w:w="1418" w:type="dxa"/>
            <w:shd w:val="clear" w:color="auto" w:fill="FFFFFF" w:themeFill="background1"/>
          </w:tcPr>
          <w:p w14:paraId="08B8E079" w14:textId="77777777" w:rsidR="00044268" w:rsidRDefault="00044268" w:rsidP="004905E2">
            <w:pPr>
              <w:spacing w:after="120"/>
              <w:jc w:val="both"/>
              <w:rPr>
                <w:sz w:val="20"/>
              </w:rPr>
            </w:pPr>
            <w:r>
              <w:rPr>
                <w:sz w:val="20"/>
              </w:rPr>
              <w:t>ŠMSM,</w:t>
            </w:r>
          </w:p>
          <w:p w14:paraId="37883848" w14:textId="77777777" w:rsidR="00044268" w:rsidRDefault="00044268" w:rsidP="004905E2">
            <w:pPr>
              <w:spacing w:after="120"/>
              <w:jc w:val="both"/>
              <w:rPr>
                <w:sz w:val="20"/>
              </w:rPr>
            </w:pPr>
            <w:r>
              <w:rPr>
                <w:sz w:val="20"/>
              </w:rPr>
              <w:t>FM</w:t>
            </w:r>
          </w:p>
        </w:tc>
        <w:tc>
          <w:tcPr>
            <w:tcW w:w="4536" w:type="dxa"/>
            <w:vMerge/>
            <w:shd w:val="clear" w:color="auto" w:fill="FFFFFF" w:themeFill="background1"/>
          </w:tcPr>
          <w:p w14:paraId="7FE3F014" w14:textId="77777777" w:rsidR="00044268" w:rsidRDefault="00044268" w:rsidP="004905E2">
            <w:pPr>
              <w:spacing w:after="120"/>
              <w:rPr>
                <w:iCs/>
                <w:sz w:val="20"/>
              </w:rPr>
            </w:pPr>
          </w:p>
        </w:tc>
      </w:tr>
      <w:tr w:rsidR="00044268" w14:paraId="1A0E52F6" w14:textId="77777777" w:rsidTr="004905E2">
        <w:trPr>
          <w:trHeight w:val="375"/>
        </w:trPr>
        <w:tc>
          <w:tcPr>
            <w:tcW w:w="3256" w:type="dxa"/>
            <w:shd w:val="clear" w:color="auto" w:fill="FFFFFF" w:themeFill="background1"/>
          </w:tcPr>
          <w:p w14:paraId="1165E68D" w14:textId="77777777" w:rsidR="00044268" w:rsidRPr="0051644F" w:rsidRDefault="00044268" w:rsidP="004905E2">
            <w:pPr>
              <w:spacing w:after="120"/>
              <w:rPr>
                <w:sz w:val="20"/>
              </w:rPr>
            </w:pPr>
            <w:r w:rsidRPr="0051644F">
              <w:rPr>
                <w:iCs/>
                <w:sz w:val="20"/>
              </w:rPr>
              <w:t>2.3.5. Lyderystės programa mokyklų vadovams.</w:t>
            </w:r>
          </w:p>
        </w:tc>
        <w:tc>
          <w:tcPr>
            <w:tcW w:w="5953" w:type="dxa"/>
            <w:shd w:val="clear" w:color="auto" w:fill="FFFFFF" w:themeFill="background1"/>
          </w:tcPr>
          <w:p w14:paraId="0D4A6F37" w14:textId="77777777" w:rsidR="00044268" w:rsidRPr="0051644F" w:rsidRDefault="00044268" w:rsidP="004905E2">
            <w:pPr>
              <w:spacing w:after="120"/>
              <w:rPr>
                <w:sz w:val="20"/>
              </w:rPr>
            </w:pPr>
            <w:r>
              <w:rPr>
                <w:sz w:val="20"/>
              </w:rPr>
              <w:t>Tobulinti u</w:t>
            </w:r>
            <w:r w:rsidRPr="0051644F">
              <w:rPr>
                <w:sz w:val="20"/>
              </w:rPr>
              <w:t>gdymo įstaigų vadovų kompetenci</w:t>
            </w:r>
            <w:r>
              <w:rPr>
                <w:sz w:val="20"/>
              </w:rPr>
              <w:t>jas ir sukurti</w:t>
            </w:r>
            <w:r w:rsidRPr="0051644F">
              <w:rPr>
                <w:sz w:val="20"/>
              </w:rPr>
              <w:t xml:space="preserve"> profesinės </w:t>
            </w:r>
            <w:proofErr w:type="spellStart"/>
            <w:r w:rsidRPr="0051644F">
              <w:rPr>
                <w:sz w:val="20"/>
              </w:rPr>
              <w:t>tinklaveikos</w:t>
            </w:r>
            <w:proofErr w:type="spellEnd"/>
            <w:r w:rsidRPr="0051644F">
              <w:rPr>
                <w:sz w:val="20"/>
              </w:rPr>
              <w:t xml:space="preserve"> sistem</w:t>
            </w:r>
            <w:r>
              <w:rPr>
                <w:sz w:val="20"/>
              </w:rPr>
              <w:t>ą</w:t>
            </w:r>
            <w:r w:rsidRPr="0051644F">
              <w:rPr>
                <w:sz w:val="20"/>
              </w:rPr>
              <w:t>.</w:t>
            </w:r>
          </w:p>
        </w:tc>
        <w:tc>
          <w:tcPr>
            <w:tcW w:w="1418" w:type="dxa"/>
            <w:shd w:val="clear" w:color="auto" w:fill="FFFFFF" w:themeFill="background1"/>
          </w:tcPr>
          <w:p w14:paraId="7B994919"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42964628" w14:textId="77777777" w:rsidR="00044268" w:rsidRDefault="00044268" w:rsidP="004905E2">
            <w:pPr>
              <w:spacing w:after="120"/>
              <w:rPr>
                <w:iCs/>
                <w:sz w:val="20"/>
              </w:rPr>
            </w:pPr>
          </w:p>
        </w:tc>
      </w:tr>
      <w:tr w:rsidR="00044268" w14:paraId="6EEEC73C" w14:textId="77777777" w:rsidTr="004905E2">
        <w:trPr>
          <w:trHeight w:val="360"/>
        </w:trPr>
        <w:tc>
          <w:tcPr>
            <w:tcW w:w="3256" w:type="dxa"/>
            <w:shd w:val="clear" w:color="auto" w:fill="FFFFFF" w:themeFill="background1"/>
          </w:tcPr>
          <w:p w14:paraId="32916675" w14:textId="77777777" w:rsidR="00044268" w:rsidRPr="0051644F" w:rsidRDefault="00044268" w:rsidP="004905E2">
            <w:pPr>
              <w:spacing w:after="120"/>
              <w:rPr>
                <w:sz w:val="20"/>
              </w:rPr>
            </w:pPr>
            <w:r w:rsidRPr="0051644F">
              <w:rPr>
                <w:iCs/>
                <w:sz w:val="20"/>
              </w:rPr>
              <w:t xml:space="preserve">2.4. </w:t>
            </w:r>
            <w:r w:rsidRPr="0051644F">
              <w:rPr>
                <w:sz w:val="20"/>
              </w:rPr>
              <w:t>Projektas: lyderystė skaitmeninio švietimo srityje.</w:t>
            </w:r>
          </w:p>
        </w:tc>
        <w:tc>
          <w:tcPr>
            <w:tcW w:w="5953" w:type="dxa"/>
            <w:shd w:val="clear" w:color="auto" w:fill="FFFFFF" w:themeFill="background1"/>
          </w:tcPr>
          <w:p w14:paraId="0F146E19" w14:textId="77777777" w:rsidR="00044268" w:rsidRPr="0051644F" w:rsidRDefault="00044268" w:rsidP="004905E2">
            <w:pPr>
              <w:spacing w:after="120"/>
              <w:rPr>
                <w:sz w:val="20"/>
              </w:rPr>
            </w:pPr>
            <w:r>
              <w:rPr>
                <w:sz w:val="20"/>
              </w:rPr>
              <w:t>Sukurti p</w:t>
            </w:r>
            <w:r w:rsidRPr="0051644F">
              <w:rPr>
                <w:sz w:val="20"/>
              </w:rPr>
              <w:t>atraukli</w:t>
            </w:r>
            <w:r>
              <w:rPr>
                <w:sz w:val="20"/>
              </w:rPr>
              <w:t>ą</w:t>
            </w:r>
            <w:r w:rsidRPr="0051644F">
              <w:rPr>
                <w:sz w:val="20"/>
              </w:rPr>
              <w:t xml:space="preserve"> ir šiuolaikišk</w:t>
            </w:r>
            <w:r>
              <w:rPr>
                <w:sz w:val="20"/>
              </w:rPr>
              <w:t>ą</w:t>
            </w:r>
            <w:r w:rsidRPr="0051644F">
              <w:rPr>
                <w:sz w:val="20"/>
              </w:rPr>
              <w:t xml:space="preserve"> mokytojo darbo viet</w:t>
            </w:r>
            <w:r>
              <w:rPr>
                <w:sz w:val="20"/>
              </w:rPr>
              <w:t>ą</w:t>
            </w:r>
            <w:r w:rsidRPr="0051644F">
              <w:rPr>
                <w:sz w:val="20"/>
              </w:rPr>
              <w:t>. Nuosekl</w:t>
            </w:r>
            <w:r>
              <w:rPr>
                <w:sz w:val="20"/>
              </w:rPr>
              <w:t>iai ugdyti</w:t>
            </w:r>
            <w:r w:rsidRPr="0051644F">
              <w:rPr>
                <w:sz w:val="20"/>
              </w:rPr>
              <w:t xml:space="preserve"> mokytojų skaitmenin</w:t>
            </w:r>
            <w:r>
              <w:rPr>
                <w:sz w:val="20"/>
              </w:rPr>
              <w:t>es</w:t>
            </w:r>
            <w:r w:rsidRPr="0051644F">
              <w:rPr>
                <w:sz w:val="20"/>
              </w:rPr>
              <w:t xml:space="preserve"> kompetencij</w:t>
            </w:r>
            <w:r>
              <w:rPr>
                <w:sz w:val="20"/>
              </w:rPr>
              <w:t>as.</w:t>
            </w:r>
          </w:p>
        </w:tc>
        <w:tc>
          <w:tcPr>
            <w:tcW w:w="1418" w:type="dxa"/>
            <w:shd w:val="clear" w:color="auto" w:fill="FFFFFF" w:themeFill="background1"/>
          </w:tcPr>
          <w:p w14:paraId="1DD07586"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6139513F" w14:textId="77777777" w:rsidR="00044268" w:rsidRDefault="00044268" w:rsidP="004905E2">
            <w:pPr>
              <w:spacing w:after="120"/>
              <w:rPr>
                <w:iCs/>
                <w:sz w:val="20"/>
              </w:rPr>
            </w:pPr>
          </w:p>
        </w:tc>
      </w:tr>
      <w:tr w:rsidR="00044268" w14:paraId="07B10E0A" w14:textId="77777777" w:rsidTr="004905E2">
        <w:trPr>
          <w:trHeight w:val="360"/>
        </w:trPr>
        <w:tc>
          <w:tcPr>
            <w:tcW w:w="3256" w:type="dxa"/>
            <w:shd w:val="clear" w:color="auto" w:fill="FFFFFF" w:themeFill="background1"/>
          </w:tcPr>
          <w:p w14:paraId="595E3178" w14:textId="77777777" w:rsidR="00044268" w:rsidRPr="0051644F" w:rsidRDefault="00044268" w:rsidP="004905E2">
            <w:pPr>
              <w:spacing w:after="120"/>
              <w:rPr>
                <w:sz w:val="20"/>
              </w:rPr>
            </w:pPr>
            <w:r w:rsidRPr="0051644F">
              <w:rPr>
                <w:sz w:val="20"/>
              </w:rPr>
              <w:t>2.4.2. Mišrusis mokymas.</w:t>
            </w:r>
          </w:p>
        </w:tc>
        <w:tc>
          <w:tcPr>
            <w:tcW w:w="5953" w:type="dxa"/>
            <w:shd w:val="clear" w:color="auto" w:fill="FFFFFF" w:themeFill="background1"/>
          </w:tcPr>
          <w:p w14:paraId="0D9CBF5C" w14:textId="77777777" w:rsidR="00044268" w:rsidRPr="0051644F" w:rsidRDefault="00044268" w:rsidP="004905E2">
            <w:pPr>
              <w:spacing w:after="120"/>
              <w:rPr>
                <w:sz w:val="20"/>
              </w:rPr>
            </w:pPr>
            <w:r>
              <w:rPr>
                <w:sz w:val="20"/>
              </w:rPr>
              <w:t>Sukurti n</w:t>
            </w:r>
            <w:r w:rsidRPr="0051644F">
              <w:rPr>
                <w:sz w:val="20"/>
              </w:rPr>
              <w:t>uotolinio, mišraus ir hibridinio ugdymo aplink</w:t>
            </w:r>
            <w:r>
              <w:rPr>
                <w:sz w:val="20"/>
              </w:rPr>
              <w:t>as.</w:t>
            </w:r>
          </w:p>
        </w:tc>
        <w:tc>
          <w:tcPr>
            <w:tcW w:w="1418" w:type="dxa"/>
            <w:shd w:val="clear" w:color="auto" w:fill="FFFFFF" w:themeFill="background1"/>
          </w:tcPr>
          <w:p w14:paraId="5165DC13"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4BB8B2D2" w14:textId="77777777" w:rsidR="00044268" w:rsidRDefault="00044268" w:rsidP="004905E2">
            <w:pPr>
              <w:spacing w:after="120"/>
              <w:rPr>
                <w:iCs/>
                <w:sz w:val="20"/>
              </w:rPr>
            </w:pPr>
          </w:p>
        </w:tc>
      </w:tr>
      <w:tr w:rsidR="00044268" w14:paraId="4C441232" w14:textId="77777777" w:rsidTr="004905E2">
        <w:trPr>
          <w:trHeight w:val="360"/>
        </w:trPr>
        <w:tc>
          <w:tcPr>
            <w:tcW w:w="3256" w:type="dxa"/>
            <w:shd w:val="clear" w:color="auto" w:fill="FFFFFF" w:themeFill="background1"/>
          </w:tcPr>
          <w:p w14:paraId="2E7450C1" w14:textId="77777777" w:rsidR="00044268" w:rsidRPr="00467BDB" w:rsidRDefault="00044268" w:rsidP="004905E2">
            <w:pPr>
              <w:spacing w:after="120"/>
              <w:rPr>
                <w:sz w:val="20"/>
              </w:rPr>
            </w:pPr>
            <w:r w:rsidRPr="00467BDB">
              <w:rPr>
                <w:rFonts w:eastAsia="Arial Unicode MS"/>
                <w:color w:val="000000"/>
                <w:sz w:val="20"/>
              </w:rPr>
              <w:t>2.4.4. Nacionalinė STEAM programa skaitmeninei atskirčiai mažinti.</w:t>
            </w:r>
          </w:p>
        </w:tc>
        <w:tc>
          <w:tcPr>
            <w:tcW w:w="5953" w:type="dxa"/>
            <w:shd w:val="clear" w:color="auto" w:fill="FFFFFF" w:themeFill="background1"/>
          </w:tcPr>
          <w:p w14:paraId="3F4ABBA7" w14:textId="77777777" w:rsidR="00044268" w:rsidRPr="00467BDB" w:rsidRDefault="00044268" w:rsidP="004905E2">
            <w:pPr>
              <w:spacing w:after="120"/>
              <w:rPr>
                <w:sz w:val="20"/>
              </w:rPr>
            </w:pPr>
            <w:r w:rsidRPr="00467BDB">
              <w:rPr>
                <w:sz w:val="20"/>
              </w:rPr>
              <w:t>Ugdymo įstaigose įkurti šiuolaikiškas gamtos mokslų laboratorijas ir modernizuoti technologijų kabinetus, aprūpinant juos modernia įranga.</w:t>
            </w:r>
          </w:p>
        </w:tc>
        <w:tc>
          <w:tcPr>
            <w:tcW w:w="1418" w:type="dxa"/>
            <w:shd w:val="clear" w:color="auto" w:fill="FFFFFF" w:themeFill="background1"/>
          </w:tcPr>
          <w:p w14:paraId="310DD0B5"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7A0C7DD3" w14:textId="77777777" w:rsidR="00044268" w:rsidRDefault="00044268" w:rsidP="004905E2">
            <w:pPr>
              <w:spacing w:after="120"/>
              <w:rPr>
                <w:iCs/>
                <w:sz w:val="20"/>
              </w:rPr>
            </w:pPr>
          </w:p>
        </w:tc>
      </w:tr>
      <w:tr w:rsidR="00044268" w14:paraId="6DB6F75B" w14:textId="77777777" w:rsidTr="004905E2">
        <w:trPr>
          <w:trHeight w:val="360"/>
        </w:trPr>
        <w:tc>
          <w:tcPr>
            <w:tcW w:w="3256" w:type="dxa"/>
            <w:shd w:val="clear" w:color="auto" w:fill="FFFFFF" w:themeFill="background1"/>
          </w:tcPr>
          <w:p w14:paraId="6A7ADC75" w14:textId="77777777" w:rsidR="00044268" w:rsidRPr="00467BDB" w:rsidRDefault="00044268" w:rsidP="004905E2">
            <w:pPr>
              <w:spacing w:after="120"/>
              <w:rPr>
                <w:sz w:val="20"/>
              </w:rPr>
            </w:pPr>
            <w:r w:rsidRPr="00467BDB">
              <w:rPr>
                <w:iCs/>
                <w:sz w:val="20"/>
              </w:rPr>
              <w:t xml:space="preserve">2.9. </w:t>
            </w:r>
            <w:r w:rsidRPr="00467BDB">
              <w:rPr>
                <w:sz w:val="20"/>
              </w:rPr>
              <w:t>Projektas: mokymosi visą gyvenimą galimybė kiekvienam Lietuvos gyventojui.</w:t>
            </w:r>
          </w:p>
        </w:tc>
        <w:tc>
          <w:tcPr>
            <w:tcW w:w="5953" w:type="dxa"/>
            <w:shd w:val="clear" w:color="auto" w:fill="FFFFFF" w:themeFill="background1"/>
          </w:tcPr>
          <w:p w14:paraId="06685B9C" w14:textId="77777777" w:rsidR="00044268" w:rsidRPr="00467BDB" w:rsidRDefault="00044268" w:rsidP="004905E2">
            <w:pPr>
              <w:spacing w:after="120"/>
              <w:rPr>
                <w:sz w:val="20"/>
              </w:rPr>
            </w:pPr>
            <w:r w:rsidRPr="00467BDB">
              <w:rPr>
                <w:sz w:val="20"/>
              </w:rPr>
              <w:t>Pagrindinio ir vidurinio ugdymo programas vykdančioje mokykloje įsteigti ugdymo karjerai pareigybes ir skirti lėšas jų išlaikymui.</w:t>
            </w:r>
          </w:p>
        </w:tc>
        <w:tc>
          <w:tcPr>
            <w:tcW w:w="1418" w:type="dxa"/>
            <w:shd w:val="clear" w:color="auto" w:fill="FFFFFF" w:themeFill="background1"/>
          </w:tcPr>
          <w:p w14:paraId="6C8F20BF"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49E83E9D" w14:textId="77777777" w:rsidR="00044268" w:rsidRDefault="00044268" w:rsidP="004905E2">
            <w:pPr>
              <w:spacing w:after="120"/>
              <w:rPr>
                <w:iCs/>
                <w:sz w:val="20"/>
              </w:rPr>
            </w:pPr>
          </w:p>
        </w:tc>
      </w:tr>
      <w:tr w:rsidR="00044268" w14:paraId="4BF65247" w14:textId="77777777" w:rsidTr="004905E2">
        <w:trPr>
          <w:trHeight w:val="360"/>
        </w:trPr>
        <w:tc>
          <w:tcPr>
            <w:tcW w:w="3256" w:type="dxa"/>
            <w:shd w:val="clear" w:color="auto" w:fill="FFFFFF" w:themeFill="background1"/>
          </w:tcPr>
          <w:p w14:paraId="1F3C5499" w14:textId="77777777" w:rsidR="00044268" w:rsidRPr="00467BDB" w:rsidRDefault="00044268" w:rsidP="004905E2">
            <w:pPr>
              <w:spacing w:after="120"/>
              <w:rPr>
                <w:sz w:val="20"/>
              </w:rPr>
            </w:pPr>
            <w:r w:rsidRPr="00467BDB">
              <w:rPr>
                <w:sz w:val="20"/>
              </w:rPr>
              <w:t xml:space="preserve">2.10. Projektas: fizinį aktyvumą, </w:t>
            </w:r>
            <w:proofErr w:type="spellStart"/>
            <w:r w:rsidRPr="00467BDB">
              <w:rPr>
                <w:sz w:val="20"/>
              </w:rPr>
              <w:t>įtrauktį</w:t>
            </w:r>
            <w:proofErr w:type="spellEnd"/>
            <w:r w:rsidRPr="00467BDB">
              <w:rPr>
                <w:sz w:val="20"/>
              </w:rPr>
              <w:t xml:space="preserve"> ir aukštą meistriškumą užtikrinanti sporto sistema.</w:t>
            </w:r>
          </w:p>
        </w:tc>
        <w:tc>
          <w:tcPr>
            <w:tcW w:w="5953" w:type="dxa"/>
            <w:shd w:val="clear" w:color="auto" w:fill="FFFFFF" w:themeFill="background1"/>
          </w:tcPr>
          <w:p w14:paraId="688632D8" w14:textId="77777777" w:rsidR="00044268" w:rsidRPr="00467BDB" w:rsidRDefault="00044268" w:rsidP="004905E2">
            <w:pPr>
              <w:spacing w:after="120"/>
              <w:rPr>
                <w:sz w:val="20"/>
              </w:rPr>
            </w:pPr>
            <w:r w:rsidRPr="00467BDB">
              <w:rPr>
                <w:sz w:val="20"/>
              </w:rPr>
              <w:t xml:space="preserve">Numatyti finansines priemones darniai miestų ir regionų sporto bei laisvalaikio infrastruktūros plėtrai. </w:t>
            </w:r>
          </w:p>
        </w:tc>
        <w:tc>
          <w:tcPr>
            <w:tcW w:w="1418" w:type="dxa"/>
            <w:shd w:val="clear" w:color="auto" w:fill="FFFFFF" w:themeFill="background1"/>
          </w:tcPr>
          <w:p w14:paraId="7F596A52" w14:textId="77777777" w:rsidR="00044268" w:rsidRDefault="00044268" w:rsidP="004905E2">
            <w:pPr>
              <w:spacing w:after="120"/>
              <w:jc w:val="both"/>
              <w:rPr>
                <w:sz w:val="20"/>
              </w:rPr>
            </w:pPr>
            <w:r>
              <w:rPr>
                <w:sz w:val="20"/>
              </w:rPr>
              <w:t>ŠMSM</w:t>
            </w:r>
          </w:p>
        </w:tc>
        <w:tc>
          <w:tcPr>
            <w:tcW w:w="4536" w:type="dxa"/>
            <w:vMerge/>
            <w:shd w:val="clear" w:color="auto" w:fill="FFFFFF" w:themeFill="background1"/>
          </w:tcPr>
          <w:p w14:paraId="2450D489" w14:textId="77777777" w:rsidR="00044268" w:rsidRDefault="00044268" w:rsidP="004905E2">
            <w:pPr>
              <w:spacing w:after="120"/>
              <w:rPr>
                <w:iCs/>
                <w:sz w:val="20"/>
              </w:rPr>
            </w:pPr>
          </w:p>
        </w:tc>
      </w:tr>
    </w:tbl>
    <w:p w14:paraId="3AC5F9DB" w14:textId="557E6FB6" w:rsidR="00044268" w:rsidRDefault="00044268" w:rsidP="00047EF5">
      <w:pPr>
        <w:rPr>
          <w:b/>
          <w:bCs/>
          <w:sz w:val="28"/>
          <w:szCs w:val="28"/>
        </w:rPr>
      </w:pPr>
    </w:p>
    <w:tbl>
      <w:tblPr>
        <w:tblStyle w:val="Lentelstinklelis"/>
        <w:tblW w:w="15163" w:type="dxa"/>
        <w:tblLayout w:type="fixed"/>
        <w:tblLook w:val="04A0" w:firstRow="1" w:lastRow="0" w:firstColumn="1" w:lastColumn="0" w:noHBand="0" w:noVBand="1"/>
      </w:tblPr>
      <w:tblGrid>
        <w:gridCol w:w="3256"/>
        <w:gridCol w:w="5953"/>
        <w:gridCol w:w="709"/>
        <w:gridCol w:w="709"/>
        <w:gridCol w:w="425"/>
        <w:gridCol w:w="4111"/>
      </w:tblGrid>
      <w:tr w:rsidR="00044268" w:rsidRPr="00917053" w14:paraId="07036F35" w14:textId="77777777" w:rsidTr="004905E2">
        <w:trPr>
          <w:trHeight w:val="253"/>
        </w:trPr>
        <w:tc>
          <w:tcPr>
            <w:tcW w:w="15163" w:type="dxa"/>
            <w:gridSpan w:val="6"/>
            <w:shd w:val="clear" w:color="auto" w:fill="BDD6EE" w:themeFill="accent1" w:themeFillTint="66"/>
          </w:tcPr>
          <w:p w14:paraId="378867D0" w14:textId="77777777" w:rsidR="00044268" w:rsidRPr="00917053" w:rsidRDefault="00044268" w:rsidP="004905E2">
            <w:pPr>
              <w:contextualSpacing/>
              <w:jc w:val="center"/>
              <w:rPr>
                <w:b/>
                <w:bCs/>
                <w:iCs/>
                <w:szCs w:val="24"/>
              </w:rPr>
            </w:pPr>
            <w:r w:rsidRPr="00917053">
              <w:rPr>
                <w:rFonts w:eastAsia="Arial Unicode MS"/>
                <w:b/>
                <w:bCs/>
                <w:color w:val="000000"/>
                <w:szCs w:val="24"/>
              </w:rPr>
              <w:lastRenderedPageBreak/>
              <w:t>KULTŪRA</w:t>
            </w:r>
          </w:p>
        </w:tc>
      </w:tr>
      <w:tr w:rsidR="00044268" w14:paraId="6EB68FB3" w14:textId="77777777" w:rsidTr="00044268">
        <w:trPr>
          <w:trHeight w:val="360"/>
        </w:trPr>
        <w:tc>
          <w:tcPr>
            <w:tcW w:w="3256" w:type="dxa"/>
            <w:shd w:val="clear" w:color="auto" w:fill="D9D9D9" w:themeFill="background1" w:themeFillShade="D9"/>
          </w:tcPr>
          <w:p w14:paraId="29CDF329" w14:textId="77777777" w:rsidR="00044268" w:rsidRDefault="00044268" w:rsidP="004905E2">
            <w:pPr>
              <w:jc w:val="both"/>
              <w:rPr>
                <w:b/>
                <w:bCs/>
                <w:sz w:val="20"/>
              </w:rPr>
            </w:pPr>
            <w:r w:rsidRPr="00806533">
              <w:rPr>
                <w:b/>
                <w:bCs/>
                <w:sz w:val="20"/>
              </w:rPr>
              <w:t>LRV programos prioritetas</w:t>
            </w:r>
          </w:p>
          <w:p w14:paraId="5CF63A7E" w14:textId="77777777" w:rsidR="00044268" w:rsidRPr="0051644F" w:rsidRDefault="00044268" w:rsidP="004905E2">
            <w:pPr>
              <w:spacing w:after="120"/>
              <w:rPr>
                <w:rFonts w:eastAsia="Arial Unicode MS"/>
                <w:color w:val="000000"/>
                <w:sz w:val="20"/>
              </w:rPr>
            </w:pPr>
          </w:p>
        </w:tc>
        <w:tc>
          <w:tcPr>
            <w:tcW w:w="6662" w:type="dxa"/>
            <w:gridSpan w:val="2"/>
            <w:shd w:val="clear" w:color="auto" w:fill="D9D9D9" w:themeFill="background1" w:themeFillShade="D9"/>
          </w:tcPr>
          <w:p w14:paraId="6D2EE25D" w14:textId="77777777" w:rsidR="00044268" w:rsidRPr="0051644F" w:rsidRDefault="00044268" w:rsidP="004905E2">
            <w:pPr>
              <w:spacing w:after="120"/>
              <w:rPr>
                <w:sz w:val="20"/>
              </w:rPr>
            </w:pPr>
            <w:r w:rsidRPr="00806533">
              <w:rPr>
                <w:b/>
                <w:bCs/>
                <w:sz w:val="20"/>
              </w:rPr>
              <w:t>LSA siūloma priemonė</w:t>
            </w:r>
          </w:p>
        </w:tc>
        <w:tc>
          <w:tcPr>
            <w:tcW w:w="1134" w:type="dxa"/>
            <w:gridSpan w:val="2"/>
            <w:shd w:val="clear" w:color="auto" w:fill="D9D9D9" w:themeFill="background1" w:themeFillShade="D9"/>
          </w:tcPr>
          <w:p w14:paraId="3AAF0DE2" w14:textId="77777777" w:rsidR="00044268" w:rsidRDefault="00044268" w:rsidP="004905E2">
            <w:pPr>
              <w:spacing w:after="120"/>
              <w:jc w:val="both"/>
              <w:rPr>
                <w:sz w:val="20"/>
              </w:rPr>
            </w:pPr>
            <w:r>
              <w:rPr>
                <w:b/>
                <w:bCs/>
                <w:sz w:val="20"/>
              </w:rPr>
              <w:t>Atsakinga institucija</w:t>
            </w:r>
          </w:p>
        </w:tc>
        <w:tc>
          <w:tcPr>
            <w:tcW w:w="4111" w:type="dxa"/>
            <w:shd w:val="clear" w:color="auto" w:fill="D9D9D9" w:themeFill="background1" w:themeFillShade="D9"/>
          </w:tcPr>
          <w:p w14:paraId="68B479EE" w14:textId="77777777" w:rsidR="00044268" w:rsidRDefault="00044268" w:rsidP="004905E2">
            <w:pPr>
              <w:spacing w:after="120"/>
              <w:rPr>
                <w:iCs/>
                <w:sz w:val="20"/>
              </w:rPr>
            </w:pPr>
            <w:r w:rsidRPr="00806533">
              <w:rPr>
                <w:b/>
                <w:bCs/>
                <w:sz w:val="20"/>
              </w:rPr>
              <w:t>Priemonės sąsaja su</w:t>
            </w:r>
            <w:r>
              <w:rPr>
                <w:b/>
                <w:bCs/>
                <w:sz w:val="20"/>
              </w:rPr>
              <w:t xml:space="preserve"> NPP tikslais</w:t>
            </w:r>
            <w:r w:rsidRPr="00806533">
              <w:rPr>
                <w:b/>
                <w:bCs/>
                <w:sz w:val="20"/>
              </w:rPr>
              <w:t>, E</w:t>
            </w:r>
            <w:r>
              <w:rPr>
                <w:b/>
                <w:bCs/>
                <w:sz w:val="20"/>
              </w:rPr>
              <w:t>T</w:t>
            </w:r>
            <w:r w:rsidRPr="00806533">
              <w:rPr>
                <w:b/>
                <w:bCs/>
                <w:sz w:val="20"/>
              </w:rPr>
              <w:t xml:space="preserve"> rekomendacijom</w:t>
            </w:r>
            <w:r>
              <w:rPr>
                <w:b/>
                <w:bCs/>
                <w:sz w:val="20"/>
              </w:rPr>
              <w:t>is Lietuvai</w:t>
            </w:r>
            <w:r w:rsidRPr="00806533">
              <w:rPr>
                <w:b/>
                <w:bCs/>
                <w:sz w:val="20"/>
              </w:rPr>
              <w:t>, RRF prioritetais</w:t>
            </w:r>
          </w:p>
        </w:tc>
      </w:tr>
      <w:tr w:rsidR="00044268" w14:paraId="37BCA9FA" w14:textId="77777777" w:rsidTr="00044268">
        <w:trPr>
          <w:trHeight w:val="360"/>
        </w:trPr>
        <w:tc>
          <w:tcPr>
            <w:tcW w:w="3256" w:type="dxa"/>
            <w:shd w:val="clear" w:color="auto" w:fill="FFFFFF" w:themeFill="background1"/>
          </w:tcPr>
          <w:p w14:paraId="6CB3C9F9" w14:textId="77777777" w:rsidR="00044268" w:rsidRPr="005E188F" w:rsidRDefault="00044268" w:rsidP="004905E2">
            <w:pPr>
              <w:spacing w:after="120"/>
              <w:rPr>
                <w:sz w:val="20"/>
              </w:rPr>
            </w:pPr>
            <w:r w:rsidRPr="005E188F">
              <w:rPr>
                <w:sz w:val="20"/>
              </w:rPr>
              <w:t>4.1. Projektas: kultūros svarba asmens, visuomenės ir valstybės raidai.</w:t>
            </w:r>
          </w:p>
        </w:tc>
        <w:tc>
          <w:tcPr>
            <w:tcW w:w="6662" w:type="dxa"/>
            <w:gridSpan w:val="2"/>
            <w:shd w:val="clear" w:color="auto" w:fill="FFFFFF" w:themeFill="background1"/>
          </w:tcPr>
          <w:p w14:paraId="485850B7" w14:textId="77777777" w:rsidR="00044268" w:rsidRPr="005E188F" w:rsidRDefault="00044268" w:rsidP="004905E2">
            <w:pPr>
              <w:spacing w:after="120"/>
              <w:rPr>
                <w:sz w:val="20"/>
              </w:rPr>
            </w:pPr>
            <w:r w:rsidRPr="005E188F">
              <w:rPr>
                <w:sz w:val="20"/>
              </w:rPr>
              <w:t>1. Parengti subalansuotą ir integruotą valstybės ir savivaldos kultūros politikos bendradarbiavimo modelį.</w:t>
            </w:r>
            <w:r w:rsidRPr="005E188F">
              <w:t xml:space="preserve"> </w:t>
            </w:r>
            <w:r>
              <w:rPr>
                <w:sz w:val="20"/>
              </w:rPr>
              <w:t>Tobulinti K</w:t>
            </w:r>
            <w:r w:rsidRPr="005E188F">
              <w:rPr>
                <w:sz w:val="20"/>
              </w:rPr>
              <w:t>ultūros politikos pagrindų įstatym</w:t>
            </w:r>
            <w:r>
              <w:rPr>
                <w:sz w:val="20"/>
              </w:rPr>
              <w:t>o projektą</w:t>
            </w:r>
            <w:r w:rsidRPr="005E188F">
              <w:rPr>
                <w:sz w:val="20"/>
              </w:rPr>
              <w:t>.</w:t>
            </w:r>
          </w:p>
          <w:p w14:paraId="7F1D4EAC" w14:textId="77777777" w:rsidR="00044268" w:rsidRPr="005E188F" w:rsidRDefault="00044268" w:rsidP="004905E2">
            <w:pPr>
              <w:spacing w:after="120"/>
              <w:rPr>
                <w:sz w:val="20"/>
              </w:rPr>
            </w:pPr>
            <w:r w:rsidRPr="005E188F">
              <w:rPr>
                <w:sz w:val="20"/>
              </w:rPr>
              <w:t>2. Parengti kultūros politikos įgyvendinimo savivaldybėse aprašą bei vertinimo metodiką.</w:t>
            </w:r>
          </w:p>
        </w:tc>
        <w:tc>
          <w:tcPr>
            <w:tcW w:w="1134" w:type="dxa"/>
            <w:gridSpan w:val="2"/>
            <w:shd w:val="clear" w:color="auto" w:fill="FFFFFF" w:themeFill="background1"/>
          </w:tcPr>
          <w:p w14:paraId="226026A7" w14:textId="77777777" w:rsidR="00044268" w:rsidRPr="005E188F" w:rsidRDefault="00044268" w:rsidP="004905E2">
            <w:pPr>
              <w:spacing w:after="120"/>
              <w:jc w:val="both"/>
              <w:rPr>
                <w:sz w:val="20"/>
              </w:rPr>
            </w:pPr>
            <w:r w:rsidRPr="005E188F">
              <w:rPr>
                <w:sz w:val="20"/>
              </w:rPr>
              <w:t>KM</w:t>
            </w:r>
          </w:p>
        </w:tc>
        <w:tc>
          <w:tcPr>
            <w:tcW w:w="4111" w:type="dxa"/>
            <w:vMerge w:val="restart"/>
            <w:shd w:val="clear" w:color="auto" w:fill="FFFFFF" w:themeFill="background1"/>
          </w:tcPr>
          <w:p w14:paraId="5DB7AC68" w14:textId="77777777" w:rsidR="00044268" w:rsidRDefault="00044268" w:rsidP="004905E2">
            <w:pPr>
              <w:spacing w:after="120"/>
              <w:rPr>
                <w:b/>
                <w:sz w:val="20"/>
              </w:rPr>
            </w:pPr>
            <w:r w:rsidRPr="00806533">
              <w:rPr>
                <w:b/>
                <w:bCs/>
                <w:sz w:val="20"/>
              </w:rPr>
              <w:t>Atitinka</w:t>
            </w:r>
            <w:r w:rsidRPr="00806533">
              <w:rPr>
                <w:sz w:val="20"/>
              </w:rPr>
              <w:t xml:space="preserve"> net k</w:t>
            </w:r>
            <w:r>
              <w:rPr>
                <w:sz w:val="20"/>
              </w:rPr>
              <w:t>elis</w:t>
            </w:r>
            <w:r w:rsidRPr="00806533">
              <w:rPr>
                <w:sz w:val="20"/>
              </w:rPr>
              <w:t xml:space="preserve"> </w:t>
            </w:r>
            <w:r>
              <w:rPr>
                <w:sz w:val="20"/>
              </w:rPr>
              <w:t>NPP tikslus, iš kurių labiausiai:</w:t>
            </w:r>
          </w:p>
          <w:p w14:paraId="6A5E0684" w14:textId="77777777" w:rsidR="00044268" w:rsidRDefault="00044268" w:rsidP="004905E2">
            <w:pPr>
              <w:spacing w:after="120"/>
              <w:rPr>
                <w:b/>
                <w:sz w:val="20"/>
              </w:rPr>
            </w:pPr>
            <w:r w:rsidRPr="006866C4">
              <w:rPr>
                <w:b/>
                <w:sz w:val="20"/>
              </w:rPr>
              <w:t>NPP 4 strateginis tikslas.</w:t>
            </w:r>
            <w:r w:rsidRPr="00A661B6">
              <w:rPr>
                <w:sz w:val="20"/>
              </w:rPr>
              <w:t xml:space="preserve"> Stiprinti tautinį ir pilietinį tapatumą, didinti kultūros skvarbą ir visuomenės kūrybingumą</w:t>
            </w:r>
            <w:r>
              <w:rPr>
                <w:b/>
                <w:sz w:val="20"/>
              </w:rPr>
              <w:t>.</w:t>
            </w:r>
          </w:p>
          <w:p w14:paraId="342CF602" w14:textId="77777777" w:rsidR="00044268" w:rsidRDefault="00044268" w:rsidP="004905E2">
            <w:pPr>
              <w:spacing w:after="120"/>
              <w:rPr>
                <w:b/>
                <w:sz w:val="20"/>
              </w:rPr>
            </w:pPr>
            <w:r w:rsidRPr="00CF5255">
              <w:rPr>
                <w:b/>
                <w:sz w:val="20"/>
              </w:rPr>
              <w:t>NPP 7 strateginis tikslas.</w:t>
            </w:r>
            <w:r w:rsidRPr="00A661B6">
              <w:rPr>
                <w:sz w:val="20"/>
              </w:rPr>
              <w:t xml:space="preserve"> Tvariai </w:t>
            </w:r>
            <w:r w:rsidRPr="003A1D04">
              <w:rPr>
                <w:sz w:val="20"/>
              </w:rPr>
              <w:t>ir subalansuotai vystyti Lietuvos teritoriją ir mažinti regioninę atskirtį</w:t>
            </w:r>
            <w:r>
              <w:rPr>
                <w:b/>
                <w:sz w:val="20"/>
              </w:rPr>
              <w:t>.</w:t>
            </w:r>
          </w:p>
          <w:p w14:paraId="3BE66E76" w14:textId="77777777" w:rsidR="00044268" w:rsidRPr="00EE368A" w:rsidRDefault="00044268" w:rsidP="004905E2">
            <w:pPr>
              <w:spacing w:after="120"/>
              <w:rPr>
                <w:bCs/>
                <w:sz w:val="20"/>
              </w:rPr>
            </w:pPr>
            <w:r>
              <w:rPr>
                <w:b/>
                <w:sz w:val="20"/>
              </w:rPr>
              <w:t xml:space="preserve">Atitinka </w:t>
            </w:r>
            <w:r w:rsidRPr="00D655BB">
              <w:rPr>
                <w:bCs/>
                <w:sz w:val="20"/>
              </w:rPr>
              <w:t>net kelias RRF taikymo sritis, iš kurių labiausiai:</w:t>
            </w:r>
            <w:r>
              <w:rPr>
                <w:bCs/>
                <w:sz w:val="20"/>
              </w:rPr>
              <w:t xml:space="preserve"> </w:t>
            </w:r>
            <w:r w:rsidRPr="00EE368A">
              <w:rPr>
                <w:b/>
                <w:sz w:val="20"/>
              </w:rPr>
              <w:t>ekonominė, socialinė ir teritorinė sanglauda</w:t>
            </w:r>
            <w:r>
              <w:rPr>
                <w:b/>
                <w:sz w:val="20"/>
              </w:rPr>
              <w:t>, atsparumas.</w:t>
            </w:r>
          </w:p>
          <w:p w14:paraId="12288680" w14:textId="77777777" w:rsidR="00044268" w:rsidRDefault="00044268" w:rsidP="004905E2">
            <w:pPr>
              <w:spacing w:after="120"/>
              <w:rPr>
                <w:iCs/>
                <w:sz w:val="20"/>
              </w:rPr>
            </w:pPr>
          </w:p>
        </w:tc>
      </w:tr>
      <w:tr w:rsidR="00044268" w14:paraId="693187FC" w14:textId="77777777" w:rsidTr="00044268">
        <w:trPr>
          <w:trHeight w:val="360"/>
        </w:trPr>
        <w:tc>
          <w:tcPr>
            <w:tcW w:w="3256" w:type="dxa"/>
            <w:shd w:val="clear" w:color="auto" w:fill="FFFFFF" w:themeFill="background1"/>
          </w:tcPr>
          <w:p w14:paraId="5BD1AE9D" w14:textId="77777777" w:rsidR="00044268" w:rsidRPr="0051644F" w:rsidRDefault="00044268" w:rsidP="004905E2">
            <w:pPr>
              <w:spacing w:after="120"/>
              <w:rPr>
                <w:rFonts w:eastAsia="Arial Unicode MS"/>
                <w:color w:val="000000"/>
                <w:sz w:val="20"/>
              </w:rPr>
            </w:pPr>
            <w:r w:rsidRPr="00806533">
              <w:rPr>
                <w:sz w:val="20"/>
              </w:rPr>
              <w:t>4.1.4. Mokestiniai sprendimai, įtraukiantys piliečius ir verslą į kultūros mecenatystę.</w:t>
            </w:r>
          </w:p>
        </w:tc>
        <w:tc>
          <w:tcPr>
            <w:tcW w:w="6662" w:type="dxa"/>
            <w:gridSpan w:val="2"/>
            <w:shd w:val="clear" w:color="auto" w:fill="FFFFFF" w:themeFill="background1"/>
          </w:tcPr>
          <w:p w14:paraId="1624B23A" w14:textId="77777777" w:rsidR="00044268" w:rsidRPr="00FD74A6" w:rsidRDefault="00044268" w:rsidP="004905E2">
            <w:pPr>
              <w:spacing w:after="120"/>
              <w:rPr>
                <w:sz w:val="20"/>
              </w:rPr>
            </w:pPr>
            <w:r w:rsidRPr="00FD74A6">
              <w:rPr>
                <w:sz w:val="20"/>
              </w:rPr>
              <w:t>Peržiūrėti Mecenavimo įstatymą, numatant mecenatams mokestines lengvatas ir (ar) kitas skatinančias priemones, tokiu būdu skatinant mecenatystės plėtrą savivaldos ir šalies lygmenyje.</w:t>
            </w:r>
          </w:p>
        </w:tc>
        <w:tc>
          <w:tcPr>
            <w:tcW w:w="1134" w:type="dxa"/>
            <w:gridSpan w:val="2"/>
            <w:shd w:val="clear" w:color="auto" w:fill="FFFFFF" w:themeFill="background1"/>
          </w:tcPr>
          <w:p w14:paraId="18D611D8" w14:textId="77777777" w:rsidR="00044268" w:rsidRDefault="00044268" w:rsidP="004905E2">
            <w:pPr>
              <w:spacing w:after="120"/>
              <w:jc w:val="both"/>
              <w:rPr>
                <w:sz w:val="20"/>
              </w:rPr>
            </w:pPr>
            <w:r w:rsidRPr="005E188F">
              <w:rPr>
                <w:sz w:val="20"/>
              </w:rPr>
              <w:t>KM</w:t>
            </w:r>
          </w:p>
        </w:tc>
        <w:tc>
          <w:tcPr>
            <w:tcW w:w="4111" w:type="dxa"/>
            <w:vMerge/>
            <w:shd w:val="clear" w:color="auto" w:fill="FFFFFF" w:themeFill="background1"/>
          </w:tcPr>
          <w:p w14:paraId="67775CD7" w14:textId="77777777" w:rsidR="00044268" w:rsidRDefault="00044268" w:rsidP="004905E2">
            <w:pPr>
              <w:spacing w:after="120"/>
              <w:rPr>
                <w:iCs/>
                <w:sz w:val="20"/>
              </w:rPr>
            </w:pPr>
          </w:p>
        </w:tc>
      </w:tr>
      <w:tr w:rsidR="00044268" w14:paraId="5B966972" w14:textId="77777777" w:rsidTr="00044268">
        <w:trPr>
          <w:trHeight w:val="360"/>
        </w:trPr>
        <w:tc>
          <w:tcPr>
            <w:tcW w:w="3256" w:type="dxa"/>
            <w:shd w:val="clear" w:color="auto" w:fill="FFFFFF" w:themeFill="background1"/>
          </w:tcPr>
          <w:p w14:paraId="2C3AAD42" w14:textId="77777777" w:rsidR="00044268" w:rsidRPr="00FD74A6" w:rsidRDefault="00044268" w:rsidP="004905E2">
            <w:pPr>
              <w:spacing w:after="120"/>
              <w:rPr>
                <w:sz w:val="20"/>
              </w:rPr>
            </w:pPr>
            <w:r w:rsidRPr="00FD74A6">
              <w:rPr>
                <w:sz w:val="20"/>
              </w:rPr>
              <w:t>4.2. Projektas: socialinis kultūros ir meno stiprinimas ir visavertis įgalinimas.</w:t>
            </w:r>
          </w:p>
        </w:tc>
        <w:tc>
          <w:tcPr>
            <w:tcW w:w="6662" w:type="dxa"/>
            <w:gridSpan w:val="2"/>
            <w:shd w:val="clear" w:color="auto" w:fill="FFFFFF" w:themeFill="background1"/>
          </w:tcPr>
          <w:p w14:paraId="6215873B" w14:textId="77777777" w:rsidR="00044268" w:rsidRPr="00FD74A6" w:rsidRDefault="00044268" w:rsidP="004905E2">
            <w:pPr>
              <w:spacing w:after="120"/>
              <w:rPr>
                <w:sz w:val="20"/>
              </w:rPr>
            </w:pPr>
            <w:r w:rsidRPr="00FD74A6">
              <w:rPr>
                <w:sz w:val="20"/>
              </w:rPr>
              <w:t>1. Parengti ilgalaikę kultūros ir meno darbuotojų darbo apmokėjimo didinimo programą.</w:t>
            </w:r>
          </w:p>
          <w:p w14:paraId="6EF1BC7F" w14:textId="77777777" w:rsidR="00044268" w:rsidRPr="00FD74A6" w:rsidRDefault="00044268" w:rsidP="004905E2">
            <w:pPr>
              <w:spacing w:after="120"/>
              <w:rPr>
                <w:sz w:val="20"/>
              </w:rPr>
            </w:pPr>
            <w:r w:rsidRPr="00FD74A6">
              <w:rPr>
                <w:sz w:val="20"/>
              </w:rPr>
              <w:t>2. Sukurti kultūros ir meno darbuotojų bei kultūros lyderių/kultūros ekspertų ilgalaikę kvalifikacijos kėlimo ir kompetencijų ugdymo sistemą.</w:t>
            </w:r>
          </w:p>
        </w:tc>
        <w:tc>
          <w:tcPr>
            <w:tcW w:w="1134" w:type="dxa"/>
            <w:gridSpan w:val="2"/>
            <w:shd w:val="clear" w:color="auto" w:fill="FFFFFF" w:themeFill="background1"/>
          </w:tcPr>
          <w:p w14:paraId="4AD93AB7" w14:textId="77777777" w:rsidR="00044268" w:rsidRDefault="00044268" w:rsidP="004905E2">
            <w:pPr>
              <w:spacing w:after="120"/>
              <w:jc w:val="both"/>
              <w:rPr>
                <w:sz w:val="20"/>
              </w:rPr>
            </w:pPr>
            <w:r w:rsidRPr="005E188F">
              <w:rPr>
                <w:sz w:val="20"/>
              </w:rPr>
              <w:t>KM</w:t>
            </w:r>
          </w:p>
        </w:tc>
        <w:tc>
          <w:tcPr>
            <w:tcW w:w="4111" w:type="dxa"/>
            <w:vMerge/>
            <w:shd w:val="clear" w:color="auto" w:fill="FFFFFF" w:themeFill="background1"/>
          </w:tcPr>
          <w:p w14:paraId="0AAE4B96" w14:textId="77777777" w:rsidR="00044268" w:rsidRDefault="00044268" w:rsidP="004905E2">
            <w:pPr>
              <w:spacing w:after="120"/>
              <w:rPr>
                <w:iCs/>
                <w:sz w:val="20"/>
              </w:rPr>
            </w:pPr>
          </w:p>
        </w:tc>
      </w:tr>
      <w:tr w:rsidR="00044268" w14:paraId="5D6EADFF" w14:textId="77777777" w:rsidTr="00044268">
        <w:trPr>
          <w:trHeight w:val="360"/>
        </w:trPr>
        <w:tc>
          <w:tcPr>
            <w:tcW w:w="3256" w:type="dxa"/>
            <w:shd w:val="clear" w:color="auto" w:fill="FFFFFF" w:themeFill="background1"/>
          </w:tcPr>
          <w:p w14:paraId="34581DD8" w14:textId="77777777" w:rsidR="00044268" w:rsidRPr="00FD74A6" w:rsidRDefault="00044268" w:rsidP="004905E2">
            <w:pPr>
              <w:spacing w:after="120"/>
              <w:rPr>
                <w:rFonts w:eastAsia="Arial Unicode MS"/>
                <w:color w:val="000000"/>
                <w:sz w:val="20"/>
              </w:rPr>
            </w:pPr>
            <w:r w:rsidRPr="00FD74A6">
              <w:rPr>
                <w:sz w:val="20"/>
              </w:rPr>
              <w:t>4.2.5. Kultūros konkurencingumo stiprinimas. </w:t>
            </w:r>
          </w:p>
        </w:tc>
        <w:tc>
          <w:tcPr>
            <w:tcW w:w="6662" w:type="dxa"/>
            <w:gridSpan w:val="2"/>
            <w:shd w:val="clear" w:color="auto" w:fill="FFFFFF" w:themeFill="background1"/>
          </w:tcPr>
          <w:p w14:paraId="337DC2BC" w14:textId="77777777" w:rsidR="00044268" w:rsidRPr="00FD74A6" w:rsidRDefault="00044268" w:rsidP="004905E2">
            <w:pPr>
              <w:spacing w:after="120"/>
              <w:rPr>
                <w:sz w:val="20"/>
              </w:rPr>
            </w:pPr>
            <w:r w:rsidRPr="00FD74A6">
              <w:rPr>
                <w:sz w:val="20"/>
              </w:rPr>
              <w:t>Modernizuoti savivaldybių kultūros infrastuktūrą, panaudojant ES struktūrinių fondų išteklius.</w:t>
            </w:r>
          </w:p>
        </w:tc>
        <w:tc>
          <w:tcPr>
            <w:tcW w:w="1134" w:type="dxa"/>
            <w:gridSpan w:val="2"/>
            <w:shd w:val="clear" w:color="auto" w:fill="FFFFFF" w:themeFill="background1"/>
          </w:tcPr>
          <w:p w14:paraId="7AA462E9" w14:textId="77777777" w:rsidR="00044268" w:rsidRDefault="00044268" w:rsidP="004905E2">
            <w:pPr>
              <w:spacing w:after="120"/>
              <w:jc w:val="both"/>
              <w:rPr>
                <w:sz w:val="20"/>
              </w:rPr>
            </w:pPr>
            <w:r w:rsidRPr="005E188F">
              <w:rPr>
                <w:sz w:val="20"/>
              </w:rPr>
              <w:t>KM</w:t>
            </w:r>
          </w:p>
        </w:tc>
        <w:tc>
          <w:tcPr>
            <w:tcW w:w="4111" w:type="dxa"/>
            <w:vMerge/>
            <w:shd w:val="clear" w:color="auto" w:fill="FFFFFF" w:themeFill="background1"/>
          </w:tcPr>
          <w:p w14:paraId="0F7382D4" w14:textId="77777777" w:rsidR="00044268" w:rsidRDefault="00044268" w:rsidP="004905E2">
            <w:pPr>
              <w:spacing w:after="120"/>
              <w:rPr>
                <w:iCs/>
                <w:sz w:val="20"/>
              </w:rPr>
            </w:pPr>
          </w:p>
        </w:tc>
      </w:tr>
      <w:tr w:rsidR="00044268" w14:paraId="6DDE7728" w14:textId="77777777" w:rsidTr="00044268">
        <w:trPr>
          <w:trHeight w:val="360"/>
        </w:trPr>
        <w:tc>
          <w:tcPr>
            <w:tcW w:w="3256" w:type="dxa"/>
            <w:shd w:val="clear" w:color="auto" w:fill="FFFFFF" w:themeFill="background1"/>
          </w:tcPr>
          <w:p w14:paraId="7A15E534" w14:textId="77777777" w:rsidR="00044268" w:rsidRPr="00FD74A6" w:rsidRDefault="00044268" w:rsidP="004905E2">
            <w:pPr>
              <w:spacing w:after="120"/>
              <w:rPr>
                <w:sz w:val="20"/>
              </w:rPr>
            </w:pPr>
            <w:r w:rsidRPr="00FD74A6">
              <w:rPr>
                <w:sz w:val="20"/>
              </w:rPr>
              <w:t>4.3. Projektas: visiems prieinama ir įtraukianti kultūra.</w:t>
            </w:r>
          </w:p>
        </w:tc>
        <w:tc>
          <w:tcPr>
            <w:tcW w:w="6662" w:type="dxa"/>
            <w:gridSpan w:val="2"/>
            <w:shd w:val="clear" w:color="auto" w:fill="FFFFFF" w:themeFill="background1"/>
          </w:tcPr>
          <w:p w14:paraId="3506E65D" w14:textId="77777777" w:rsidR="00044268" w:rsidRPr="00FD74A6" w:rsidRDefault="00044268" w:rsidP="004905E2">
            <w:pPr>
              <w:spacing w:after="120"/>
              <w:rPr>
                <w:sz w:val="20"/>
              </w:rPr>
            </w:pPr>
            <w:r w:rsidRPr="00FD74A6">
              <w:rPr>
                <w:sz w:val="20"/>
              </w:rPr>
              <w:t xml:space="preserve">Inicijuoti bendradarbiavimą tarp kultūros ir </w:t>
            </w:r>
            <w:r w:rsidRPr="00FD74A6">
              <w:rPr>
                <w:iCs/>
                <w:sz w:val="20"/>
              </w:rPr>
              <w:t>bendrojo ugdymo įstaigų</w:t>
            </w:r>
            <w:r w:rsidRPr="00FD74A6">
              <w:rPr>
                <w:sz w:val="20"/>
              </w:rPr>
              <w:t xml:space="preserve"> atstovų bei ekspertų, sudarant sąlygas geresniam profesionaliosios ir mėgėjų kultūros prieinamumui. Parengti galimo bendradarbiavimo gaires (rekomendacijas).</w:t>
            </w:r>
          </w:p>
        </w:tc>
        <w:tc>
          <w:tcPr>
            <w:tcW w:w="1134" w:type="dxa"/>
            <w:gridSpan w:val="2"/>
            <w:shd w:val="clear" w:color="auto" w:fill="FFFFFF" w:themeFill="background1"/>
          </w:tcPr>
          <w:p w14:paraId="64C05BF8" w14:textId="77777777" w:rsidR="00044268" w:rsidRDefault="00044268" w:rsidP="004905E2">
            <w:pPr>
              <w:spacing w:after="120"/>
              <w:jc w:val="both"/>
              <w:rPr>
                <w:sz w:val="20"/>
              </w:rPr>
            </w:pPr>
            <w:r w:rsidRPr="005E188F">
              <w:rPr>
                <w:sz w:val="20"/>
              </w:rPr>
              <w:t>KM</w:t>
            </w:r>
          </w:p>
        </w:tc>
        <w:tc>
          <w:tcPr>
            <w:tcW w:w="4111" w:type="dxa"/>
            <w:vMerge/>
            <w:shd w:val="clear" w:color="auto" w:fill="FFFFFF" w:themeFill="background1"/>
          </w:tcPr>
          <w:p w14:paraId="42951F4C" w14:textId="77777777" w:rsidR="00044268" w:rsidRDefault="00044268" w:rsidP="004905E2">
            <w:pPr>
              <w:spacing w:after="120"/>
              <w:rPr>
                <w:iCs/>
                <w:sz w:val="20"/>
              </w:rPr>
            </w:pPr>
          </w:p>
        </w:tc>
      </w:tr>
      <w:tr w:rsidR="00044268" w14:paraId="70E78B8C" w14:textId="77777777" w:rsidTr="00044268">
        <w:trPr>
          <w:trHeight w:val="360"/>
        </w:trPr>
        <w:tc>
          <w:tcPr>
            <w:tcW w:w="3256" w:type="dxa"/>
            <w:shd w:val="clear" w:color="auto" w:fill="FFFFFF" w:themeFill="background1"/>
          </w:tcPr>
          <w:p w14:paraId="0A8E1D7D" w14:textId="77777777" w:rsidR="00044268" w:rsidRPr="00390F6B" w:rsidRDefault="00044268" w:rsidP="004905E2">
            <w:pPr>
              <w:spacing w:after="120"/>
              <w:rPr>
                <w:sz w:val="20"/>
              </w:rPr>
            </w:pPr>
            <w:r w:rsidRPr="00390F6B">
              <w:rPr>
                <w:sz w:val="20"/>
              </w:rPr>
              <w:t>4.4. Projektas: tolygi regioninė kultūros politika.</w:t>
            </w:r>
          </w:p>
        </w:tc>
        <w:tc>
          <w:tcPr>
            <w:tcW w:w="6662" w:type="dxa"/>
            <w:gridSpan w:val="2"/>
            <w:shd w:val="clear" w:color="auto" w:fill="FFFFFF" w:themeFill="background1"/>
          </w:tcPr>
          <w:p w14:paraId="090E03E1" w14:textId="77777777" w:rsidR="00044268" w:rsidRPr="00390F6B" w:rsidRDefault="00044268" w:rsidP="004905E2">
            <w:pPr>
              <w:spacing w:after="120"/>
              <w:rPr>
                <w:sz w:val="20"/>
              </w:rPr>
            </w:pPr>
            <w:r>
              <w:rPr>
                <w:sz w:val="20"/>
              </w:rPr>
              <w:t xml:space="preserve">Atnaujinti </w:t>
            </w:r>
            <w:r w:rsidRPr="00390F6B">
              <w:rPr>
                <w:sz w:val="20"/>
              </w:rPr>
              <w:t>Lietuvos kultūros tarybos įstatym</w:t>
            </w:r>
            <w:r>
              <w:rPr>
                <w:sz w:val="20"/>
              </w:rPr>
              <w:t>ą. Atnaujinti t</w:t>
            </w:r>
            <w:r w:rsidRPr="00390F6B">
              <w:rPr>
                <w:sz w:val="20"/>
              </w:rPr>
              <w:t>olygios kultūrinės raidos model</w:t>
            </w:r>
            <w:r>
              <w:rPr>
                <w:sz w:val="20"/>
              </w:rPr>
              <w:t>į</w:t>
            </w:r>
            <w:r w:rsidRPr="00390F6B">
              <w:rPr>
                <w:sz w:val="20"/>
              </w:rPr>
              <w:t xml:space="preserve">. Kiekvienais metais didinti „Tolygios </w:t>
            </w:r>
            <w:r>
              <w:rPr>
                <w:sz w:val="20"/>
              </w:rPr>
              <w:t>k</w:t>
            </w:r>
            <w:r w:rsidRPr="00390F6B">
              <w:rPr>
                <w:sz w:val="20"/>
              </w:rPr>
              <w:t>ultūrinės raidos” programos finansavimą ir 2024 m. pasiekti, kad šiai programai būtų skiriama 25 proc. Kultūros rėmimo fondo lėšų.</w:t>
            </w:r>
          </w:p>
        </w:tc>
        <w:tc>
          <w:tcPr>
            <w:tcW w:w="1134" w:type="dxa"/>
            <w:gridSpan w:val="2"/>
            <w:shd w:val="clear" w:color="auto" w:fill="FFFFFF" w:themeFill="background1"/>
          </w:tcPr>
          <w:p w14:paraId="79B77C71" w14:textId="77777777" w:rsidR="00044268" w:rsidRDefault="00044268" w:rsidP="004905E2">
            <w:pPr>
              <w:spacing w:after="120"/>
              <w:jc w:val="both"/>
              <w:rPr>
                <w:sz w:val="20"/>
              </w:rPr>
            </w:pPr>
            <w:r>
              <w:rPr>
                <w:sz w:val="20"/>
              </w:rPr>
              <w:t>KM</w:t>
            </w:r>
          </w:p>
        </w:tc>
        <w:tc>
          <w:tcPr>
            <w:tcW w:w="4111" w:type="dxa"/>
            <w:vMerge/>
            <w:shd w:val="clear" w:color="auto" w:fill="FFFFFF" w:themeFill="background1"/>
          </w:tcPr>
          <w:p w14:paraId="0F2DF39D" w14:textId="77777777" w:rsidR="00044268" w:rsidRDefault="00044268" w:rsidP="004905E2">
            <w:pPr>
              <w:spacing w:after="120"/>
              <w:rPr>
                <w:iCs/>
                <w:sz w:val="20"/>
              </w:rPr>
            </w:pPr>
          </w:p>
        </w:tc>
      </w:tr>
      <w:tr w:rsidR="00044268" w14:paraId="04A27EA4" w14:textId="77777777" w:rsidTr="00044268">
        <w:trPr>
          <w:trHeight w:val="360"/>
        </w:trPr>
        <w:tc>
          <w:tcPr>
            <w:tcW w:w="3256" w:type="dxa"/>
            <w:shd w:val="clear" w:color="auto" w:fill="FFFFFF" w:themeFill="background1"/>
          </w:tcPr>
          <w:p w14:paraId="7DE17EEE" w14:textId="77777777" w:rsidR="00044268" w:rsidRPr="00390F6B" w:rsidRDefault="00044268" w:rsidP="004905E2">
            <w:pPr>
              <w:spacing w:after="120"/>
              <w:rPr>
                <w:rFonts w:eastAsia="Arial Unicode MS"/>
                <w:color w:val="000000"/>
                <w:sz w:val="20"/>
              </w:rPr>
            </w:pPr>
            <w:r w:rsidRPr="00390F6B">
              <w:rPr>
                <w:sz w:val="20"/>
              </w:rPr>
              <w:t>4.4.2. Kultūrinio dialogo su savivalda stiprinimas. </w:t>
            </w:r>
          </w:p>
        </w:tc>
        <w:tc>
          <w:tcPr>
            <w:tcW w:w="6662" w:type="dxa"/>
            <w:gridSpan w:val="2"/>
            <w:shd w:val="clear" w:color="auto" w:fill="FFFFFF" w:themeFill="background1"/>
          </w:tcPr>
          <w:p w14:paraId="4ECF6114" w14:textId="77777777" w:rsidR="00044268" w:rsidRPr="00390F6B" w:rsidRDefault="00044268" w:rsidP="004905E2">
            <w:pPr>
              <w:spacing w:after="120"/>
              <w:rPr>
                <w:sz w:val="20"/>
              </w:rPr>
            </w:pPr>
            <w:r w:rsidRPr="00390F6B">
              <w:rPr>
                <w:sz w:val="20"/>
              </w:rPr>
              <w:t>Atlikti regionų kultūros lauko sociologinius tyrimus.</w:t>
            </w:r>
          </w:p>
        </w:tc>
        <w:tc>
          <w:tcPr>
            <w:tcW w:w="1134" w:type="dxa"/>
            <w:gridSpan w:val="2"/>
            <w:shd w:val="clear" w:color="auto" w:fill="FFFFFF" w:themeFill="background1"/>
          </w:tcPr>
          <w:p w14:paraId="04CC1669" w14:textId="77777777" w:rsidR="00044268" w:rsidRDefault="00044268" w:rsidP="004905E2">
            <w:pPr>
              <w:spacing w:after="120"/>
              <w:jc w:val="both"/>
              <w:rPr>
                <w:sz w:val="20"/>
              </w:rPr>
            </w:pPr>
            <w:r>
              <w:rPr>
                <w:sz w:val="20"/>
              </w:rPr>
              <w:t>KM</w:t>
            </w:r>
          </w:p>
        </w:tc>
        <w:tc>
          <w:tcPr>
            <w:tcW w:w="4111" w:type="dxa"/>
            <w:vMerge/>
            <w:shd w:val="clear" w:color="auto" w:fill="FFFFFF" w:themeFill="background1"/>
          </w:tcPr>
          <w:p w14:paraId="24845AF7" w14:textId="77777777" w:rsidR="00044268" w:rsidRDefault="00044268" w:rsidP="004905E2">
            <w:pPr>
              <w:spacing w:after="120"/>
              <w:rPr>
                <w:iCs/>
                <w:sz w:val="20"/>
              </w:rPr>
            </w:pPr>
          </w:p>
        </w:tc>
      </w:tr>
      <w:tr w:rsidR="00044268" w14:paraId="7AE20A98" w14:textId="77777777" w:rsidTr="00044268">
        <w:trPr>
          <w:trHeight w:val="360"/>
        </w:trPr>
        <w:tc>
          <w:tcPr>
            <w:tcW w:w="3256" w:type="dxa"/>
            <w:shd w:val="clear" w:color="auto" w:fill="FFFFFF" w:themeFill="background1"/>
          </w:tcPr>
          <w:p w14:paraId="68E102F0" w14:textId="77777777" w:rsidR="00044268" w:rsidRPr="0051644F" w:rsidRDefault="00044268" w:rsidP="004905E2">
            <w:pPr>
              <w:spacing w:after="120"/>
              <w:rPr>
                <w:rFonts w:eastAsia="Arial Unicode MS"/>
                <w:color w:val="000000"/>
                <w:sz w:val="20"/>
              </w:rPr>
            </w:pPr>
            <w:r w:rsidRPr="00806533">
              <w:rPr>
                <w:sz w:val="20"/>
              </w:rPr>
              <w:t>4.4.3. Kultūros paslaugų kuriamoji vertė.</w:t>
            </w:r>
            <w:r w:rsidRPr="00806533">
              <w:rPr>
                <w:b/>
                <w:bCs/>
                <w:sz w:val="20"/>
              </w:rPr>
              <w:t> </w:t>
            </w:r>
          </w:p>
        </w:tc>
        <w:tc>
          <w:tcPr>
            <w:tcW w:w="6662" w:type="dxa"/>
            <w:gridSpan w:val="2"/>
            <w:shd w:val="clear" w:color="auto" w:fill="FFFFFF" w:themeFill="background1"/>
          </w:tcPr>
          <w:p w14:paraId="1B3A9538" w14:textId="77777777" w:rsidR="00044268" w:rsidRPr="00390F6B" w:rsidRDefault="00044268" w:rsidP="004905E2">
            <w:pPr>
              <w:spacing w:after="120"/>
              <w:rPr>
                <w:sz w:val="20"/>
              </w:rPr>
            </w:pPr>
            <w:r w:rsidRPr="00390F6B">
              <w:rPr>
                <w:sz w:val="20"/>
              </w:rPr>
              <w:t>Užtikrinti Dainų Švenčių ir kitų Valstybinių švenčių, renginių skirtų tradicijoms išsaugoti finansavimą. Parengti ketverių metų Dainų Švenčių veiksmų planą ir numatyti lėšos šio plano įgyvendinimui.</w:t>
            </w:r>
          </w:p>
        </w:tc>
        <w:tc>
          <w:tcPr>
            <w:tcW w:w="1134" w:type="dxa"/>
            <w:gridSpan w:val="2"/>
            <w:shd w:val="clear" w:color="auto" w:fill="FFFFFF" w:themeFill="background1"/>
          </w:tcPr>
          <w:p w14:paraId="317B4BA1" w14:textId="77777777" w:rsidR="00044268" w:rsidRDefault="00044268" w:rsidP="004905E2">
            <w:pPr>
              <w:spacing w:after="120"/>
              <w:jc w:val="both"/>
              <w:rPr>
                <w:sz w:val="20"/>
              </w:rPr>
            </w:pPr>
            <w:r>
              <w:rPr>
                <w:sz w:val="20"/>
              </w:rPr>
              <w:t>KM,</w:t>
            </w:r>
          </w:p>
          <w:p w14:paraId="62112180" w14:textId="77777777" w:rsidR="00044268" w:rsidRDefault="00044268" w:rsidP="004905E2">
            <w:pPr>
              <w:spacing w:after="120"/>
              <w:jc w:val="both"/>
              <w:rPr>
                <w:sz w:val="20"/>
              </w:rPr>
            </w:pPr>
            <w:r>
              <w:rPr>
                <w:sz w:val="20"/>
              </w:rPr>
              <w:t>ŠMSM</w:t>
            </w:r>
          </w:p>
        </w:tc>
        <w:tc>
          <w:tcPr>
            <w:tcW w:w="4111" w:type="dxa"/>
            <w:vMerge/>
            <w:shd w:val="clear" w:color="auto" w:fill="FFFFFF" w:themeFill="background1"/>
          </w:tcPr>
          <w:p w14:paraId="463F0650" w14:textId="77777777" w:rsidR="00044268" w:rsidRDefault="00044268" w:rsidP="004905E2">
            <w:pPr>
              <w:spacing w:after="120"/>
              <w:rPr>
                <w:iCs/>
                <w:sz w:val="20"/>
              </w:rPr>
            </w:pPr>
          </w:p>
        </w:tc>
      </w:tr>
      <w:tr w:rsidR="00044268" w14:paraId="1D2AA028" w14:textId="77777777" w:rsidTr="00044268">
        <w:trPr>
          <w:trHeight w:val="360"/>
        </w:trPr>
        <w:tc>
          <w:tcPr>
            <w:tcW w:w="3256" w:type="dxa"/>
            <w:shd w:val="clear" w:color="auto" w:fill="FFFFFF" w:themeFill="background1"/>
          </w:tcPr>
          <w:p w14:paraId="4CBD59C3" w14:textId="77777777" w:rsidR="00044268" w:rsidRPr="004432B8" w:rsidRDefault="00044268" w:rsidP="004905E2">
            <w:pPr>
              <w:spacing w:after="120"/>
              <w:rPr>
                <w:rFonts w:eastAsia="Arial Unicode MS"/>
                <w:color w:val="000000"/>
                <w:sz w:val="20"/>
              </w:rPr>
            </w:pPr>
            <w:r w:rsidRPr="004432B8">
              <w:rPr>
                <w:sz w:val="20"/>
              </w:rPr>
              <w:t>4.4.4. Vietos kultūros institucijų stiprinimas. </w:t>
            </w:r>
          </w:p>
        </w:tc>
        <w:tc>
          <w:tcPr>
            <w:tcW w:w="6662" w:type="dxa"/>
            <w:gridSpan w:val="2"/>
            <w:shd w:val="clear" w:color="auto" w:fill="FFFFFF" w:themeFill="background1"/>
          </w:tcPr>
          <w:p w14:paraId="17296117" w14:textId="77777777" w:rsidR="00044268" w:rsidRPr="004432B8" w:rsidRDefault="00044268" w:rsidP="004905E2">
            <w:pPr>
              <w:spacing w:after="120"/>
              <w:rPr>
                <w:sz w:val="20"/>
              </w:rPr>
            </w:pPr>
            <w:r w:rsidRPr="004432B8">
              <w:rPr>
                <w:sz w:val="20"/>
              </w:rPr>
              <w:t>Parengti savivaldybių kultūros įstaigų (kultūros centrų, bibliotekų, muziejų) modernizavimo programą.</w:t>
            </w:r>
          </w:p>
        </w:tc>
        <w:tc>
          <w:tcPr>
            <w:tcW w:w="1134" w:type="dxa"/>
            <w:gridSpan w:val="2"/>
            <w:shd w:val="clear" w:color="auto" w:fill="FFFFFF" w:themeFill="background1"/>
          </w:tcPr>
          <w:p w14:paraId="297E5B44" w14:textId="77777777" w:rsidR="00044268" w:rsidRDefault="00044268" w:rsidP="004905E2">
            <w:pPr>
              <w:spacing w:after="120"/>
              <w:jc w:val="both"/>
              <w:rPr>
                <w:sz w:val="20"/>
              </w:rPr>
            </w:pPr>
            <w:r>
              <w:rPr>
                <w:sz w:val="20"/>
              </w:rPr>
              <w:t>KM</w:t>
            </w:r>
          </w:p>
        </w:tc>
        <w:tc>
          <w:tcPr>
            <w:tcW w:w="4111" w:type="dxa"/>
            <w:vMerge/>
            <w:shd w:val="clear" w:color="auto" w:fill="FFFFFF" w:themeFill="background1"/>
          </w:tcPr>
          <w:p w14:paraId="6F80041C" w14:textId="77777777" w:rsidR="00044268" w:rsidRDefault="00044268" w:rsidP="004905E2">
            <w:pPr>
              <w:spacing w:after="120"/>
              <w:rPr>
                <w:iCs/>
                <w:sz w:val="20"/>
              </w:rPr>
            </w:pPr>
          </w:p>
        </w:tc>
      </w:tr>
      <w:tr w:rsidR="00044268" w14:paraId="2C21AA84" w14:textId="77777777" w:rsidTr="00044268">
        <w:trPr>
          <w:trHeight w:val="360"/>
        </w:trPr>
        <w:tc>
          <w:tcPr>
            <w:tcW w:w="3256" w:type="dxa"/>
            <w:shd w:val="clear" w:color="auto" w:fill="FFFFFF" w:themeFill="background1"/>
          </w:tcPr>
          <w:p w14:paraId="074EED49" w14:textId="77777777" w:rsidR="00044268" w:rsidRPr="004432B8" w:rsidRDefault="00044268" w:rsidP="004905E2">
            <w:pPr>
              <w:spacing w:after="120"/>
              <w:rPr>
                <w:sz w:val="20"/>
              </w:rPr>
            </w:pPr>
            <w:r w:rsidRPr="004432B8">
              <w:rPr>
                <w:sz w:val="20"/>
              </w:rPr>
              <w:t xml:space="preserve">4.5. Projektas: kultūrinė diplomatija, valstybės įvaizdis ir </w:t>
            </w:r>
            <w:proofErr w:type="spellStart"/>
            <w:r w:rsidRPr="004432B8">
              <w:rPr>
                <w:sz w:val="20"/>
              </w:rPr>
              <w:t>tarptautiškumas</w:t>
            </w:r>
            <w:proofErr w:type="spellEnd"/>
            <w:r w:rsidRPr="004432B8">
              <w:rPr>
                <w:sz w:val="20"/>
              </w:rPr>
              <w:t>. Tai, kuo turime didžiuotis.</w:t>
            </w:r>
          </w:p>
        </w:tc>
        <w:tc>
          <w:tcPr>
            <w:tcW w:w="6662" w:type="dxa"/>
            <w:gridSpan w:val="2"/>
            <w:shd w:val="clear" w:color="auto" w:fill="FFFFFF" w:themeFill="background1"/>
          </w:tcPr>
          <w:p w14:paraId="79F1B952" w14:textId="77777777" w:rsidR="00044268" w:rsidRPr="004432B8" w:rsidRDefault="00044268" w:rsidP="004905E2">
            <w:pPr>
              <w:spacing w:after="120"/>
              <w:rPr>
                <w:sz w:val="20"/>
              </w:rPr>
            </w:pPr>
            <w:r w:rsidRPr="004432B8">
              <w:rPr>
                <w:sz w:val="20"/>
              </w:rPr>
              <w:t>Parengti tautinių mažumų veiklų finansavimo modelį, užtikrinant tautinių mažumų iniciatyvų finansavimą kultūros srityje.</w:t>
            </w:r>
          </w:p>
        </w:tc>
        <w:tc>
          <w:tcPr>
            <w:tcW w:w="1134" w:type="dxa"/>
            <w:gridSpan w:val="2"/>
            <w:shd w:val="clear" w:color="auto" w:fill="FFFFFF" w:themeFill="background1"/>
          </w:tcPr>
          <w:p w14:paraId="495F7AA5" w14:textId="77777777" w:rsidR="00044268" w:rsidRDefault="00044268" w:rsidP="004905E2">
            <w:pPr>
              <w:spacing w:after="120"/>
              <w:jc w:val="both"/>
              <w:rPr>
                <w:sz w:val="20"/>
              </w:rPr>
            </w:pPr>
            <w:r>
              <w:rPr>
                <w:sz w:val="20"/>
              </w:rPr>
              <w:t>KM</w:t>
            </w:r>
          </w:p>
        </w:tc>
        <w:tc>
          <w:tcPr>
            <w:tcW w:w="4111" w:type="dxa"/>
            <w:vMerge/>
            <w:shd w:val="clear" w:color="auto" w:fill="FFFFFF" w:themeFill="background1"/>
          </w:tcPr>
          <w:p w14:paraId="6EF0EF85" w14:textId="77777777" w:rsidR="00044268" w:rsidRDefault="00044268" w:rsidP="004905E2">
            <w:pPr>
              <w:spacing w:after="120"/>
              <w:rPr>
                <w:iCs/>
                <w:sz w:val="20"/>
              </w:rPr>
            </w:pPr>
          </w:p>
        </w:tc>
      </w:tr>
      <w:tr w:rsidR="00044268" w:rsidRPr="00CD4671" w14:paraId="660A42A2" w14:textId="77777777" w:rsidTr="004905E2">
        <w:trPr>
          <w:trHeight w:val="317"/>
        </w:trPr>
        <w:tc>
          <w:tcPr>
            <w:tcW w:w="15163" w:type="dxa"/>
            <w:gridSpan w:val="6"/>
            <w:shd w:val="clear" w:color="auto" w:fill="FFC000" w:themeFill="accent4"/>
          </w:tcPr>
          <w:p w14:paraId="24081B41" w14:textId="77777777" w:rsidR="00044268" w:rsidRPr="00CD4671" w:rsidRDefault="00044268" w:rsidP="004905E2">
            <w:pPr>
              <w:jc w:val="center"/>
              <w:rPr>
                <w:b/>
                <w:bCs/>
                <w:iCs/>
                <w:szCs w:val="24"/>
              </w:rPr>
            </w:pPr>
            <w:r w:rsidRPr="00CD4671">
              <w:rPr>
                <w:rFonts w:eastAsia="Arial Unicode MS"/>
                <w:b/>
                <w:bCs/>
                <w:color w:val="000000"/>
                <w:szCs w:val="24"/>
              </w:rPr>
              <w:lastRenderedPageBreak/>
              <w:t>SOCIALINĖ APSAUGA</w:t>
            </w:r>
          </w:p>
        </w:tc>
      </w:tr>
      <w:tr w:rsidR="00044268" w14:paraId="4C275386" w14:textId="77777777" w:rsidTr="004905E2">
        <w:trPr>
          <w:trHeight w:val="360"/>
        </w:trPr>
        <w:tc>
          <w:tcPr>
            <w:tcW w:w="3256" w:type="dxa"/>
            <w:shd w:val="clear" w:color="auto" w:fill="D9D9D9" w:themeFill="background1" w:themeFillShade="D9"/>
          </w:tcPr>
          <w:p w14:paraId="32AB3FA2" w14:textId="77777777" w:rsidR="00044268" w:rsidRDefault="00044268" w:rsidP="004905E2">
            <w:pPr>
              <w:jc w:val="both"/>
              <w:rPr>
                <w:b/>
                <w:bCs/>
                <w:sz w:val="20"/>
              </w:rPr>
            </w:pPr>
            <w:r w:rsidRPr="00806533">
              <w:rPr>
                <w:b/>
                <w:bCs/>
                <w:sz w:val="20"/>
              </w:rPr>
              <w:t>LRV programos prioritetas</w:t>
            </w:r>
          </w:p>
          <w:p w14:paraId="6EB4EA36" w14:textId="77777777" w:rsidR="00044268" w:rsidRPr="00806533" w:rsidRDefault="00044268" w:rsidP="004905E2">
            <w:pPr>
              <w:spacing w:after="120"/>
              <w:rPr>
                <w:iCs/>
                <w:sz w:val="20"/>
              </w:rPr>
            </w:pPr>
          </w:p>
        </w:tc>
        <w:tc>
          <w:tcPr>
            <w:tcW w:w="5953" w:type="dxa"/>
            <w:shd w:val="clear" w:color="auto" w:fill="D9D9D9" w:themeFill="background1" w:themeFillShade="D9"/>
          </w:tcPr>
          <w:p w14:paraId="2D8A1AF2" w14:textId="77777777" w:rsidR="00044268" w:rsidRPr="00806533" w:rsidRDefault="00044268" w:rsidP="004905E2">
            <w:pPr>
              <w:spacing w:after="120"/>
              <w:rPr>
                <w:b/>
                <w:sz w:val="20"/>
              </w:rPr>
            </w:pPr>
            <w:r w:rsidRPr="00806533">
              <w:rPr>
                <w:b/>
                <w:bCs/>
                <w:sz w:val="20"/>
              </w:rPr>
              <w:t>LSA siūloma priemonė</w:t>
            </w:r>
          </w:p>
        </w:tc>
        <w:tc>
          <w:tcPr>
            <w:tcW w:w="1418" w:type="dxa"/>
            <w:gridSpan w:val="2"/>
            <w:shd w:val="clear" w:color="auto" w:fill="D9D9D9" w:themeFill="background1" w:themeFillShade="D9"/>
          </w:tcPr>
          <w:p w14:paraId="26387D2C" w14:textId="77777777" w:rsidR="00044268" w:rsidRDefault="00044268" w:rsidP="004905E2">
            <w:pPr>
              <w:spacing w:after="120"/>
              <w:jc w:val="both"/>
              <w:rPr>
                <w:sz w:val="20"/>
              </w:rPr>
            </w:pPr>
            <w:r>
              <w:rPr>
                <w:b/>
                <w:bCs/>
                <w:sz w:val="20"/>
              </w:rPr>
              <w:t>Atsakinga institucija</w:t>
            </w:r>
          </w:p>
        </w:tc>
        <w:tc>
          <w:tcPr>
            <w:tcW w:w="4536" w:type="dxa"/>
            <w:gridSpan w:val="2"/>
            <w:shd w:val="clear" w:color="auto" w:fill="D9D9D9" w:themeFill="background1" w:themeFillShade="D9"/>
          </w:tcPr>
          <w:p w14:paraId="6026D0DB" w14:textId="77777777" w:rsidR="00044268" w:rsidRDefault="00044268" w:rsidP="004905E2">
            <w:pPr>
              <w:spacing w:after="120"/>
              <w:rPr>
                <w:iCs/>
                <w:sz w:val="20"/>
              </w:rPr>
            </w:pPr>
            <w:r w:rsidRPr="00806533">
              <w:rPr>
                <w:b/>
                <w:bCs/>
                <w:sz w:val="20"/>
              </w:rPr>
              <w:t>Priemonės sąsaja su</w:t>
            </w:r>
            <w:r>
              <w:rPr>
                <w:b/>
                <w:bCs/>
                <w:sz w:val="20"/>
              </w:rPr>
              <w:t xml:space="preserve"> NPP tikslais</w:t>
            </w:r>
            <w:r w:rsidRPr="00806533">
              <w:rPr>
                <w:b/>
                <w:bCs/>
                <w:sz w:val="20"/>
              </w:rPr>
              <w:t>, E</w:t>
            </w:r>
            <w:r>
              <w:rPr>
                <w:b/>
                <w:bCs/>
                <w:sz w:val="20"/>
              </w:rPr>
              <w:t xml:space="preserve">T </w:t>
            </w:r>
            <w:r w:rsidRPr="00806533">
              <w:rPr>
                <w:b/>
                <w:bCs/>
                <w:sz w:val="20"/>
              </w:rPr>
              <w:t>rekomendacijom</w:t>
            </w:r>
            <w:r>
              <w:rPr>
                <w:b/>
                <w:bCs/>
                <w:sz w:val="20"/>
              </w:rPr>
              <w:t>is Lietuvai</w:t>
            </w:r>
            <w:r w:rsidRPr="00806533">
              <w:rPr>
                <w:b/>
                <w:bCs/>
                <w:sz w:val="20"/>
              </w:rPr>
              <w:t>, RRF prioritetais</w:t>
            </w:r>
          </w:p>
        </w:tc>
      </w:tr>
      <w:tr w:rsidR="00044268" w14:paraId="2E45E1B5" w14:textId="77777777" w:rsidTr="004905E2">
        <w:trPr>
          <w:trHeight w:val="360"/>
        </w:trPr>
        <w:tc>
          <w:tcPr>
            <w:tcW w:w="3256" w:type="dxa"/>
          </w:tcPr>
          <w:p w14:paraId="1BBC2016" w14:textId="77777777" w:rsidR="00044268" w:rsidRPr="002A53AD" w:rsidRDefault="00044268" w:rsidP="004905E2">
            <w:pPr>
              <w:spacing w:after="120"/>
              <w:rPr>
                <w:sz w:val="20"/>
              </w:rPr>
            </w:pPr>
            <w:r w:rsidRPr="002A53AD">
              <w:rPr>
                <w:iCs/>
                <w:sz w:val="20"/>
              </w:rPr>
              <w:t>6.1. P</w:t>
            </w:r>
            <w:r w:rsidRPr="002A53AD">
              <w:rPr>
                <w:sz w:val="20"/>
              </w:rPr>
              <w:t>rojektas: individualius asmens poreikius atitinkančios socialinės paslaugos.</w:t>
            </w:r>
          </w:p>
        </w:tc>
        <w:tc>
          <w:tcPr>
            <w:tcW w:w="5953" w:type="dxa"/>
          </w:tcPr>
          <w:p w14:paraId="1B27AEC2" w14:textId="77777777" w:rsidR="00044268" w:rsidRPr="002A53AD" w:rsidRDefault="00044268" w:rsidP="004905E2">
            <w:pPr>
              <w:spacing w:after="120"/>
              <w:rPr>
                <w:sz w:val="20"/>
              </w:rPr>
            </w:pPr>
            <w:r w:rsidRPr="002A53AD">
              <w:rPr>
                <w:sz w:val="20"/>
              </w:rPr>
              <w:t xml:space="preserve">Tęsiant institucinės globos pertvarką atlikti įvairių socialinių paslaugų teikėjų teikiamų paslaugų ir įsteigtų socialinių paslaugų įstaigų išlaikymo ekonominius </w:t>
            </w:r>
            <w:proofErr w:type="spellStart"/>
            <w:r w:rsidRPr="002A53AD">
              <w:rPr>
                <w:sz w:val="20"/>
              </w:rPr>
              <w:t>paskaičiavimus</w:t>
            </w:r>
            <w:proofErr w:type="spellEnd"/>
            <w:r w:rsidRPr="002A53AD">
              <w:rPr>
                <w:sz w:val="20"/>
              </w:rPr>
              <w:t xml:space="preserve"> šalies mastu</w:t>
            </w:r>
            <w:r>
              <w:rPr>
                <w:sz w:val="20"/>
              </w:rPr>
              <w:t xml:space="preserve"> ir apibrėžti tolimesnes pertvarkos priemones.</w:t>
            </w:r>
          </w:p>
        </w:tc>
        <w:tc>
          <w:tcPr>
            <w:tcW w:w="1418" w:type="dxa"/>
            <w:gridSpan w:val="2"/>
          </w:tcPr>
          <w:p w14:paraId="5C67F5E2" w14:textId="77777777" w:rsidR="00044268" w:rsidRDefault="00044268" w:rsidP="004905E2">
            <w:pPr>
              <w:spacing w:after="120"/>
              <w:jc w:val="both"/>
              <w:rPr>
                <w:sz w:val="20"/>
              </w:rPr>
            </w:pPr>
            <w:r>
              <w:rPr>
                <w:sz w:val="20"/>
              </w:rPr>
              <w:t>SADM</w:t>
            </w:r>
          </w:p>
        </w:tc>
        <w:tc>
          <w:tcPr>
            <w:tcW w:w="4536" w:type="dxa"/>
            <w:gridSpan w:val="2"/>
            <w:vMerge w:val="restart"/>
          </w:tcPr>
          <w:p w14:paraId="1B50BBCA" w14:textId="77777777" w:rsidR="00044268" w:rsidRPr="00B54A78" w:rsidRDefault="00044268" w:rsidP="004905E2">
            <w:pPr>
              <w:spacing w:after="120"/>
              <w:rPr>
                <w:b/>
                <w:sz w:val="20"/>
              </w:rPr>
            </w:pPr>
            <w:r w:rsidRPr="00806533">
              <w:rPr>
                <w:b/>
                <w:bCs/>
                <w:sz w:val="20"/>
              </w:rPr>
              <w:t>Atitinka</w:t>
            </w:r>
            <w:r w:rsidRPr="00806533">
              <w:rPr>
                <w:sz w:val="20"/>
              </w:rPr>
              <w:t xml:space="preserve"> net k</w:t>
            </w:r>
            <w:r>
              <w:rPr>
                <w:sz w:val="20"/>
              </w:rPr>
              <w:t>elis</w:t>
            </w:r>
            <w:r w:rsidRPr="00806533">
              <w:rPr>
                <w:sz w:val="20"/>
              </w:rPr>
              <w:t xml:space="preserve"> </w:t>
            </w:r>
            <w:r>
              <w:rPr>
                <w:sz w:val="20"/>
              </w:rPr>
              <w:t>NPP tikslus, iš kurių labiausiai:</w:t>
            </w:r>
          </w:p>
          <w:p w14:paraId="03410250" w14:textId="77777777" w:rsidR="00044268" w:rsidRDefault="00044268" w:rsidP="004905E2">
            <w:pPr>
              <w:spacing w:after="120"/>
              <w:rPr>
                <w:sz w:val="20"/>
              </w:rPr>
            </w:pPr>
            <w:r w:rsidRPr="001507FD">
              <w:rPr>
                <w:b/>
                <w:bCs/>
                <w:sz w:val="20"/>
              </w:rPr>
              <w:t>NPP 2 strateginis tikslas.</w:t>
            </w:r>
            <w:r w:rsidRPr="001507FD">
              <w:rPr>
                <w:sz w:val="20"/>
              </w:rPr>
              <w:t xml:space="preserve"> Didinti gyventojų socialinę gerovę ir </w:t>
            </w:r>
            <w:proofErr w:type="spellStart"/>
            <w:r w:rsidRPr="001507FD">
              <w:rPr>
                <w:sz w:val="20"/>
              </w:rPr>
              <w:t>įtrauktį</w:t>
            </w:r>
            <w:proofErr w:type="spellEnd"/>
            <w:r w:rsidRPr="001507FD">
              <w:rPr>
                <w:sz w:val="20"/>
              </w:rPr>
              <w:t>, stiprinti sveikatą ir gerinti Lietuvos demografinę padėtį</w:t>
            </w:r>
            <w:r>
              <w:rPr>
                <w:sz w:val="20"/>
              </w:rPr>
              <w:t>.</w:t>
            </w:r>
          </w:p>
          <w:p w14:paraId="700266F0" w14:textId="77777777" w:rsidR="00044268" w:rsidRDefault="00044268" w:rsidP="004905E2">
            <w:pPr>
              <w:spacing w:after="120"/>
              <w:rPr>
                <w:b/>
                <w:sz w:val="20"/>
              </w:rPr>
            </w:pPr>
            <w:r w:rsidRPr="00CF5255">
              <w:rPr>
                <w:b/>
                <w:sz w:val="20"/>
              </w:rPr>
              <w:t>NPP 7 strateginis tikslas.</w:t>
            </w:r>
            <w:r w:rsidRPr="00A661B6">
              <w:rPr>
                <w:sz w:val="20"/>
              </w:rPr>
              <w:t xml:space="preserve"> Tvariai </w:t>
            </w:r>
            <w:r w:rsidRPr="003A1D04">
              <w:rPr>
                <w:sz w:val="20"/>
              </w:rPr>
              <w:t>ir subalansuotai vystyti Lietuvos teritoriją ir mažinti regioninę atskirtį</w:t>
            </w:r>
            <w:r>
              <w:rPr>
                <w:b/>
                <w:sz w:val="20"/>
              </w:rPr>
              <w:t>.</w:t>
            </w:r>
          </w:p>
          <w:p w14:paraId="27340804" w14:textId="77777777" w:rsidR="00044268" w:rsidRPr="009E1C2C" w:rsidRDefault="00044268" w:rsidP="004905E2">
            <w:pPr>
              <w:spacing w:after="120"/>
              <w:rPr>
                <w:sz w:val="20"/>
              </w:rPr>
            </w:pPr>
            <w:r>
              <w:rPr>
                <w:b/>
                <w:bCs/>
                <w:sz w:val="20"/>
              </w:rPr>
              <w:t xml:space="preserve">ET </w:t>
            </w:r>
            <w:r w:rsidRPr="00580BEE">
              <w:rPr>
                <w:b/>
                <w:bCs/>
                <w:sz w:val="20"/>
              </w:rPr>
              <w:t>2 rekomendacija</w:t>
            </w:r>
            <w:r>
              <w:rPr>
                <w:b/>
                <w:bCs/>
                <w:sz w:val="20"/>
              </w:rPr>
              <w:t xml:space="preserve"> (2020)</w:t>
            </w:r>
            <w:r w:rsidRPr="00580BEE">
              <w:rPr>
                <w:b/>
                <w:bCs/>
                <w:sz w:val="20"/>
              </w:rPr>
              <w:t>.</w:t>
            </w:r>
            <w:r w:rsidRPr="00580BEE">
              <w:rPr>
                <w:sz w:val="20"/>
              </w:rPr>
              <w:t xml:space="preserve"> Švelninti krizės poveikį užimtumui. Didinti aktyvios darbo rinkos politikos priemonių finansavimą bei aprėptį ir skatinti gerinti įgūdžius. Užtikrinti minimalios socialinės apsaugos sistemos aprėptį bei adekvatumą ir padidinti mokesčių ir socialinių išmokų sistemos veiksmingumą apsaugant nuo skurdo. </w:t>
            </w:r>
          </w:p>
          <w:p w14:paraId="1224518E" w14:textId="77777777" w:rsidR="00044268" w:rsidRDefault="00044268" w:rsidP="004905E2">
            <w:pPr>
              <w:spacing w:after="120"/>
              <w:rPr>
                <w:b/>
                <w:sz w:val="20"/>
              </w:rPr>
            </w:pPr>
            <w:r>
              <w:rPr>
                <w:b/>
                <w:sz w:val="20"/>
              </w:rPr>
              <w:t xml:space="preserve">ET 1 rekomendacija (2019). </w:t>
            </w:r>
            <w:r w:rsidRPr="004D0419">
              <w:rPr>
                <w:bCs/>
                <w:sz w:val="20"/>
              </w:rPr>
              <w:t>Mažinti pajamų nelygybę, skurdą ir socialinę atskirtį, be kita ko, gerinant mokesčių ir socialinių išmokų sistemos struktūrą.</w:t>
            </w:r>
          </w:p>
          <w:p w14:paraId="16596EBC" w14:textId="77777777" w:rsidR="00044268" w:rsidRPr="00403619" w:rsidRDefault="00044268" w:rsidP="004905E2">
            <w:pPr>
              <w:spacing w:after="120"/>
              <w:rPr>
                <w:bCs/>
                <w:sz w:val="20"/>
              </w:rPr>
            </w:pPr>
            <w:r>
              <w:rPr>
                <w:b/>
                <w:sz w:val="20"/>
              </w:rPr>
              <w:t xml:space="preserve">Atitinka </w:t>
            </w:r>
            <w:r w:rsidRPr="00D655BB">
              <w:rPr>
                <w:bCs/>
                <w:sz w:val="20"/>
              </w:rPr>
              <w:t>net kelias RRF taikymo sritis, iš kurių labiausiai:</w:t>
            </w:r>
            <w:r>
              <w:rPr>
                <w:bCs/>
                <w:sz w:val="20"/>
              </w:rPr>
              <w:t xml:space="preserve"> </w:t>
            </w:r>
            <w:r w:rsidRPr="00403619">
              <w:rPr>
                <w:b/>
                <w:bCs/>
                <w:sz w:val="20"/>
              </w:rPr>
              <w:t>ekonominė, socialinė ir teritorinė sanglauda</w:t>
            </w:r>
            <w:r>
              <w:rPr>
                <w:b/>
                <w:bCs/>
                <w:sz w:val="20"/>
              </w:rPr>
              <w:t>, atsparumas.</w:t>
            </w:r>
          </w:p>
          <w:p w14:paraId="7FF9D3F9" w14:textId="77777777" w:rsidR="00044268" w:rsidRDefault="00044268" w:rsidP="004905E2">
            <w:pPr>
              <w:spacing w:after="120"/>
              <w:rPr>
                <w:iCs/>
                <w:sz w:val="20"/>
              </w:rPr>
            </w:pPr>
          </w:p>
        </w:tc>
      </w:tr>
      <w:tr w:rsidR="00044268" w14:paraId="2FD33B1C" w14:textId="77777777" w:rsidTr="004905E2">
        <w:trPr>
          <w:trHeight w:val="360"/>
        </w:trPr>
        <w:tc>
          <w:tcPr>
            <w:tcW w:w="3256" w:type="dxa"/>
          </w:tcPr>
          <w:p w14:paraId="49F0A61C" w14:textId="77777777" w:rsidR="00044268" w:rsidRPr="002A53AD" w:rsidRDefault="00044268" w:rsidP="004905E2">
            <w:pPr>
              <w:spacing w:after="120"/>
              <w:rPr>
                <w:rFonts w:eastAsia="Arial Unicode MS"/>
                <w:color w:val="000000"/>
                <w:sz w:val="20"/>
              </w:rPr>
            </w:pPr>
            <w:r w:rsidRPr="002A53AD">
              <w:rPr>
                <w:sz w:val="20"/>
              </w:rPr>
              <w:t xml:space="preserve">6.1.4. Didinsime globos ir slaugos priežiūros paslaugas namuose, paslaugų namuose spektrą, suprasdami, kad žmogaus prioritetas – kiek įmanoma savarankiškiau ir ilgiau gyventi savo namuose.  </w:t>
            </w:r>
          </w:p>
        </w:tc>
        <w:tc>
          <w:tcPr>
            <w:tcW w:w="5953" w:type="dxa"/>
          </w:tcPr>
          <w:p w14:paraId="30215358" w14:textId="77777777" w:rsidR="00044268" w:rsidRPr="002A53AD" w:rsidRDefault="00044268" w:rsidP="004905E2">
            <w:pPr>
              <w:spacing w:after="120"/>
              <w:rPr>
                <w:sz w:val="20"/>
              </w:rPr>
            </w:pPr>
            <w:r w:rsidRPr="002A53AD">
              <w:rPr>
                <w:sz w:val="20"/>
              </w:rPr>
              <w:t>Parengti integruotų socialinės globos ir slaugos paslaugų į namus pagyvenusiems ir neįgaliesiems žmonėms sistemos modelį bei užtikrinti jo funkcionavimui būtiną finansavimą.</w:t>
            </w:r>
          </w:p>
          <w:p w14:paraId="09872246" w14:textId="77777777" w:rsidR="00044268" w:rsidRPr="002A53AD" w:rsidRDefault="00044268" w:rsidP="004905E2">
            <w:pPr>
              <w:spacing w:after="120"/>
              <w:rPr>
                <w:sz w:val="20"/>
              </w:rPr>
            </w:pPr>
          </w:p>
        </w:tc>
        <w:tc>
          <w:tcPr>
            <w:tcW w:w="1418" w:type="dxa"/>
            <w:gridSpan w:val="2"/>
          </w:tcPr>
          <w:p w14:paraId="203A9FF6" w14:textId="77777777" w:rsidR="00044268" w:rsidRDefault="00044268" w:rsidP="004905E2">
            <w:pPr>
              <w:spacing w:after="120"/>
              <w:jc w:val="both"/>
              <w:rPr>
                <w:sz w:val="20"/>
              </w:rPr>
            </w:pPr>
            <w:r>
              <w:rPr>
                <w:sz w:val="20"/>
              </w:rPr>
              <w:t>SADM,</w:t>
            </w:r>
          </w:p>
          <w:p w14:paraId="0417739E" w14:textId="77777777" w:rsidR="00044268" w:rsidRDefault="00044268" w:rsidP="004905E2">
            <w:pPr>
              <w:spacing w:after="120"/>
              <w:jc w:val="both"/>
              <w:rPr>
                <w:sz w:val="20"/>
              </w:rPr>
            </w:pPr>
            <w:r>
              <w:rPr>
                <w:sz w:val="20"/>
              </w:rPr>
              <w:t>SAM</w:t>
            </w:r>
          </w:p>
        </w:tc>
        <w:tc>
          <w:tcPr>
            <w:tcW w:w="4536" w:type="dxa"/>
            <w:gridSpan w:val="2"/>
            <w:vMerge/>
          </w:tcPr>
          <w:p w14:paraId="12BB204F" w14:textId="77777777" w:rsidR="00044268" w:rsidRDefault="00044268" w:rsidP="004905E2">
            <w:pPr>
              <w:spacing w:after="120"/>
              <w:rPr>
                <w:iCs/>
                <w:sz w:val="20"/>
              </w:rPr>
            </w:pPr>
          </w:p>
        </w:tc>
      </w:tr>
      <w:tr w:rsidR="00044268" w14:paraId="38B5DD43" w14:textId="77777777" w:rsidTr="004905E2">
        <w:trPr>
          <w:trHeight w:val="360"/>
        </w:trPr>
        <w:tc>
          <w:tcPr>
            <w:tcW w:w="3256" w:type="dxa"/>
          </w:tcPr>
          <w:p w14:paraId="558F74CA" w14:textId="77777777" w:rsidR="00044268" w:rsidRPr="002A53AD" w:rsidRDefault="00044268" w:rsidP="004905E2">
            <w:pPr>
              <w:spacing w:after="120"/>
              <w:rPr>
                <w:rFonts w:eastAsia="Arial Unicode MS"/>
                <w:color w:val="000000"/>
                <w:sz w:val="20"/>
              </w:rPr>
            </w:pPr>
            <w:r w:rsidRPr="002A53AD">
              <w:rPr>
                <w:sz w:val="20"/>
              </w:rPr>
              <w:t>6.1.5. Socialines paslaugas finansuosime tiesioginio finansavimo principu.</w:t>
            </w:r>
          </w:p>
        </w:tc>
        <w:tc>
          <w:tcPr>
            <w:tcW w:w="5953" w:type="dxa"/>
          </w:tcPr>
          <w:p w14:paraId="7B805E7E" w14:textId="77777777" w:rsidR="00044268" w:rsidRPr="002A53AD" w:rsidRDefault="00044268" w:rsidP="004905E2">
            <w:pPr>
              <w:spacing w:after="120"/>
              <w:rPr>
                <w:sz w:val="20"/>
              </w:rPr>
            </w:pPr>
            <w:r w:rsidRPr="002A53AD">
              <w:rPr>
                <w:sz w:val="20"/>
              </w:rPr>
              <w:t>Pakeisti Mokėjimo už socialinės paslaugas tvarkos aprašą, patvirtintą 2006 m. birželio 14 d. LR Vyriausybės nutarimu Nr. 583 „Dėl Mokėjimo už socialines paslaugas tvarkos aprašo patvirtinimo”.</w:t>
            </w:r>
          </w:p>
        </w:tc>
        <w:tc>
          <w:tcPr>
            <w:tcW w:w="1418" w:type="dxa"/>
            <w:gridSpan w:val="2"/>
          </w:tcPr>
          <w:p w14:paraId="06B6044F" w14:textId="77777777" w:rsidR="00044268" w:rsidRDefault="00044268" w:rsidP="004905E2">
            <w:pPr>
              <w:spacing w:after="120"/>
              <w:jc w:val="both"/>
              <w:rPr>
                <w:sz w:val="20"/>
              </w:rPr>
            </w:pPr>
            <w:r>
              <w:rPr>
                <w:sz w:val="20"/>
              </w:rPr>
              <w:t>SADM</w:t>
            </w:r>
          </w:p>
        </w:tc>
        <w:tc>
          <w:tcPr>
            <w:tcW w:w="4536" w:type="dxa"/>
            <w:gridSpan w:val="2"/>
            <w:vMerge/>
          </w:tcPr>
          <w:p w14:paraId="0FCFF9FB" w14:textId="77777777" w:rsidR="00044268" w:rsidRDefault="00044268" w:rsidP="004905E2">
            <w:pPr>
              <w:spacing w:after="120"/>
              <w:rPr>
                <w:iCs/>
                <w:sz w:val="20"/>
              </w:rPr>
            </w:pPr>
          </w:p>
        </w:tc>
      </w:tr>
      <w:tr w:rsidR="00044268" w14:paraId="5AA2520C" w14:textId="77777777" w:rsidTr="004905E2">
        <w:trPr>
          <w:trHeight w:val="360"/>
        </w:trPr>
        <w:tc>
          <w:tcPr>
            <w:tcW w:w="3256" w:type="dxa"/>
          </w:tcPr>
          <w:p w14:paraId="33F62D54" w14:textId="77777777" w:rsidR="00044268" w:rsidRPr="00753FD2" w:rsidRDefault="00044268" w:rsidP="004905E2">
            <w:pPr>
              <w:spacing w:after="120"/>
              <w:rPr>
                <w:sz w:val="20"/>
              </w:rPr>
            </w:pPr>
            <w:r w:rsidRPr="00753FD2">
              <w:rPr>
                <w:iCs/>
                <w:sz w:val="20"/>
              </w:rPr>
              <w:t xml:space="preserve">6.2. </w:t>
            </w:r>
            <w:r w:rsidRPr="00753FD2">
              <w:rPr>
                <w:sz w:val="20"/>
              </w:rPr>
              <w:t>Projektas: neįgaliųjų teisių apsauga ir paslaugų plėtra.</w:t>
            </w:r>
          </w:p>
        </w:tc>
        <w:tc>
          <w:tcPr>
            <w:tcW w:w="5953" w:type="dxa"/>
          </w:tcPr>
          <w:p w14:paraId="0635CF21" w14:textId="77777777" w:rsidR="00044268" w:rsidRPr="00753FD2" w:rsidRDefault="00044268" w:rsidP="004905E2">
            <w:pPr>
              <w:spacing w:after="120"/>
              <w:rPr>
                <w:sz w:val="20"/>
              </w:rPr>
            </w:pPr>
            <w:r w:rsidRPr="00753FD2">
              <w:rPr>
                <w:sz w:val="20"/>
              </w:rPr>
              <w:t xml:space="preserve">Parengti teisės aktus, reglamentuojančius kompleksinių paslaugų krepšelį/ standartą šeimoms, auginančioms autizmo spektro sutrikimus turinčius  vaikus ir vaikus su raidos bei elgesio sutrikimais.  </w:t>
            </w:r>
          </w:p>
        </w:tc>
        <w:tc>
          <w:tcPr>
            <w:tcW w:w="1418" w:type="dxa"/>
            <w:gridSpan w:val="2"/>
          </w:tcPr>
          <w:p w14:paraId="5957CFC5" w14:textId="77777777" w:rsidR="00044268" w:rsidRDefault="00044268" w:rsidP="004905E2">
            <w:pPr>
              <w:spacing w:after="120"/>
              <w:jc w:val="both"/>
              <w:rPr>
                <w:sz w:val="20"/>
              </w:rPr>
            </w:pPr>
            <w:r>
              <w:rPr>
                <w:sz w:val="20"/>
              </w:rPr>
              <w:t>SADM,</w:t>
            </w:r>
          </w:p>
          <w:p w14:paraId="18CAADE8" w14:textId="77777777" w:rsidR="00044268" w:rsidRDefault="00044268" w:rsidP="004905E2">
            <w:pPr>
              <w:spacing w:after="120"/>
              <w:jc w:val="both"/>
              <w:rPr>
                <w:sz w:val="20"/>
              </w:rPr>
            </w:pPr>
            <w:r>
              <w:rPr>
                <w:sz w:val="20"/>
              </w:rPr>
              <w:t>SAM,</w:t>
            </w:r>
          </w:p>
          <w:p w14:paraId="327E61FE" w14:textId="77777777" w:rsidR="00044268" w:rsidRDefault="00044268" w:rsidP="004905E2">
            <w:pPr>
              <w:spacing w:after="120"/>
              <w:jc w:val="both"/>
              <w:rPr>
                <w:sz w:val="20"/>
              </w:rPr>
            </w:pPr>
            <w:r>
              <w:rPr>
                <w:sz w:val="20"/>
              </w:rPr>
              <w:t>ŠMSM</w:t>
            </w:r>
          </w:p>
        </w:tc>
        <w:tc>
          <w:tcPr>
            <w:tcW w:w="4536" w:type="dxa"/>
            <w:gridSpan w:val="2"/>
            <w:vMerge/>
          </w:tcPr>
          <w:p w14:paraId="35821668" w14:textId="77777777" w:rsidR="00044268" w:rsidRDefault="00044268" w:rsidP="004905E2">
            <w:pPr>
              <w:spacing w:after="120"/>
              <w:rPr>
                <w:iCs/>
                <w:sz w:val="20"/>
              </w:rPr>
            </w:pPr>
          </w:p>
        </w:tc>
      </w:tr>
      <w:tr w:rsidR="00044268" w14:paraId="5C4E07A2" w14:textId="77777777" w:rsidTr="004905E2">
        <w:trPr>
          <w:trHeight w:val="360"/>
        </w:trPr>
        <w:tc>
          <w:tcPr>
            <w:tcW w:w="3256" w:type="dxa"/>
          </w:tcPr>
          <w:p w14:paraId="20326E07" w14:textId="77777777" w:rsidR="00044268" w:rsidRPr="00F026CD" w:rsidRDefault="00044268" w:rsidP="004905E2">
            <w:pPr>
              <w:spacing w:after="120"/>
              <w:rPr>
                <w:sz w:val="20"/>
              </w:rPr>
            </w:pPr>
            <w:r w:rsidRPr="00F026CD">
              <w:rPr>
                <w:iCs/>
                <w:sz w:val="20"/>
              </w:rPr>
              <w:t xml:space="preserve">6.5. </w:t>
            </w:r>
            <w:r w:rsidRPr="00F026CD">
              <w:rPr>
                <w:sz w:val="20"/>
              </w:rPr>
              <w:t>Projektas: socialinės srities darbuotojų įgalinimas. Vaiko teisių apsaugos stiprinimas.</w:t>
            </w:r>
          </w:p>
        </w:tc>
        <w:tc>
          <w:tcPr>
            <w:tcW w:w="5953" w:type="dxa"/>
          </w:tcPr>
          <w:p w14:paraId="49B3C9F3" w14:textId="77777777" w:rsidR="00044268" w:rsidRPr="00F026CD" w:rsidRDefault="00044268" w:rsidP="004905E2">
            <w:pPr>
              <w:spacing w:after="120"/>
              <w:rPr>
                <w:sz w:val="20"/>
              </w:rPr>
            </w:pPr>
            <w:r w:rsidRPr="00F026CD">
              <w:rPr>
                <w:sz w:val="20"/>
              </w:rPr>
              <w:t xml:space="preserve">Gerinant pagalbą vaikui ir jo šeimai peržiūrėti po Vaiko teisių apsaugos reformos susiklosčiusią praktiką, įvertinti įvykusių pokyčių </w:t>
            </w:r>
            <w:proofErr w:type="spellStart"/>
            <w:r w:rsidRPr="00F026CD">
              <w:rPr>
                <w:sz w:val="20"/>
              </w:rPr>
              <w:t>privalumus</w:t>
            </w:r>
            <w:proofErr w:type="spellEnd"/>
            <w:r w:rsidRPr="00F026CD">
              <w:rPr>
                <w:sz w:val="20"/>
              </w:rPr>
              <w:t xml:space="preserve">, išryškėjusias reformos įgyvendinimo spragas bei savivaldybių ir valstybės vaiko teisių tarnybos bendradarbiavimo aspektus.  </w:t>
            </w:r>
          </w:p>
        </w:tc>
        <w:tc>
          <w:tcPr>
            <w:tcW w:w="1418" w:type="dxa"/>
            <w:gridSpan w:val="2"/>
          </w:tcPr>
          <w:p w14:paraId="11574D17" w14:textId="77777777" w:rsidR="00044268" w:rsidRDefault="00044268" w:rsidP="004905E2">
            <w:pPr>
              <w:spacing w:after="120"/>
              <w:jc w:val="both"/>
              <w:rPr>
                <w:sz w:val="20"/>
              </w:rPr>
            </w:pPr>
            <w:r>
              <w:rPr>
                <w:sz w:val="20"/>
              </w:rPr>
              <w:t>SADM</w:t>
            </w:r>
          </w:p>
        </w:tc>
        <w:tc>
          <w:tcPr>
            <w:tcW w:w="4536" w:type="dxa"/>
            <w:gridSpan w:val="2"/>
            <w:vMerge/>
          </w:tcPr>
          <w:p w14:paraId="5D352EB7" w14:textId="77777777" w:rsidR="00044268" w:rsidRDefault="00044268" w:rsidP="004905E2">
            <w:pPr>
              <w:spacing w:after="120"/>
              <w:rPr>
                <w:iCs/>
                <w:sz w:val="20"/>
              </w:rPr>
            </w:pPr>
          </w:p>
        </w:tc>
      </w:tr>
      <w:tr w:rsidR="00044268" w14:paraId="144AA394" w14:textId="77777777" w:rsidTr="004905E2">
        <w:trPr>
          <w:trHeight w:val="360"/>
        </w:trPr>
        <w:tc>
          <w:tcPr>
            <w:tcW w:w="3256" w:type="dxa"/>
          </w:tcPr>
          <w:p w14:paraId="3887B3EF" w14:textId="77777777" w:rsidR="00044268" w:rsidRDefault="00044268" w:rsidP="004905E2">
            <w:pPr>
              <w:spacing w:after="120"/>
              <w:rPr>
                <w:sz w:val="20"/>
              </w:rPr>
            </w:pPr>
            <w:r w:rsidRPr="00F026CD">
              <w:rPr>
                <w:iCs/>
                <w:sz w:val="20"/>
              </w:rPr>
              <w:t xml:space="preserve">6.6. </w:t>
            </w:r>
            <w:r w:rsidRPr="00F026CD">
              <w:rPr>
                <w:sz w:val="20"/>
              </w:rPr>
              <w:t>Projektas: socialinės apsaugos valdymo tobulinimas.</w:t>
            </w:r>
          </w:p>
          <w:p w14:paraId="490EA8BF" w14:textId="77777777" w:rsidR="00044268" w:rsidRPr="00F026CD" w:rsidRDefault="00044268" w:rsidP="004905E2">
            <w:pPr>
              <w:spacing w:after="120"/>
              <w:rPr>
                <w:sz w:val="20"/>
              </w:rPr>
            </w:pPr>
            <w:r w:rsidRPr="00806533">
              <w:rPr>
                <w:sz w:val="20"/>
              </w:rPr>
              <w:t>10.2.</w:t>
            </w:r>
            <w:r w:rsidRPr="00F026CD">
              <w:rPr>
                <w:sz w:val="20"/>
              </w:rPr>
              <w:t>3. Gerinti darbo rinkos stebėseną ir valdymą.</w:t>
            </w:r>
          </w:p>
        </w:tc>
        <w:tc>
          <w:tcPr>
            <w:tcW w:w="5953" w:type="dxa"/>
          </w:tcPr>
          <w:p w14:paraId="526C87D2" w14:textId="77777777" w:rsidR="00044268" w:rsidRPr="00F026CD" w:rsidRDefault="00044268" w:rsidP="004905E2">
            <w:pPr>
              <w:spacing w:after="120"/>
              <w:rPr>
                <w:sz w:val="20"/>
              </w:rPr>
            </w:pPr>
            <w:r w:rsidRPr="00F026CD">
              <w:rPr>
                <w:sz w:val="20"/>
              </w:rPr>
              <w:t xml:space="preserve">Parengti Užimtumo įstatymo pakeitimus siekiant pagerinti savivaldybėse įgyvendinamų užimtumo didinimo programų veiksmingumą ir sudaryti galimybę savivaldybių iniciatyvai bei sprendimų priėmimui didinant gyventojų užimtumą.  </w:t>
            </w:r>
          </w:p>
        </w:tc>
        <w:tc>
          <w:tcPr>
            <w:tcW w:w="1418" w:type="dxa"/>
            <w:gridSpan w:val="2"/>
          </w:tcPr>
          <w:p w14:paraId="28A3545D" w14:textId="77777777" w:rsidR="00044268" w:rsidRDefault="00044268" w:rsidP="004905E2">
            <w:pPr>
              <w:spacing w:after="120"/>
              <w:jc w:val="both"/>
              <w:rPr>
                <w:sz w:val="20"/>
              </w:rPr>
            </w:pPr>
            <w:r>
              <w:rPr>
                <w:sz w:val="20"/>
              </w:rPr>
              <w:t>SADM</w:t>
            </w:r>
          </w:p>
        </w:tc>
        <w:tc>
          <w:tcPr>
            <w:tcW w:w="4536" w:type="dxa"/>
            <w:gridSpan w:val="2"/>
            <w:vMerge/>
          </w:tcPr>
          <w:p w14:paraId="1CE83BCB" w14:textId="77777777" w:rsidR="00044268" w:rsidRDefault="00044268" w:rsidP="004905E2">
            <w:pPr>
              <w:spacing w:after="120"/>
              <w:rPr>
                <w:iCs/>
                <w:sz w:val="20"/>
              </w:rPr>
            </w:pPr>
          </w:p>
        </w:tc>
      </w:tr>
    </w:tbl>
    <w:p w14:paraId="0E3911B9" w14:textId="10C10BFD" w:rsidR="00044268" w:rsidRDefault="00044268" w:rsidP="00047EF5">
      <w:pPr>
        <w:rPr>
          <w:b/>
          <w:bCs/>
          <w:sz w:val="28"/>
          <w:szCs w:val="28"/>
        </w:rPr>
      </w:pPr>
    </w:p>
    <w:p w14:paraId="58F5A261" w14:textId="77777777" w:rsidR="00044268" w:rsidRDefault="00044268" w:rsidP="00047EF5">
      <w:pPr>
        <w:rPr>
          <w:b/>
          <w:bCs/>
          <w:sz w:val="28"/>
          <w:szCs w:val="28"/>
        </w:rPr>
      </w:pPr>
    </w:p>
    <w:p w14:paraId="75E5ECF9" w14:textId="47A0D1B4" w:rsidR="00044268" w:rsidRDefault="00044268" w:rsidP="00047EF5">
      <w:pPr>
        <w:rPr>
          <w:b/>
          <w:bCs/>
          <w:sz w:val="32"/>
          <w:szCs w:val="32"/>
        </w:rPr>
      </w:pPr>
    </w:p>
    <w:p w14:paraId="7F99B01E" w14:textId="77777777" w:rsidR="005C389B" w:rsidRDefault="005C389B" w:rsidP="00047EF5">
      <w:pPr>
        <w:rPr>
          <w:b/>
          <w:bCs/>
          <w:sz w:val="32"/>
          <w:szCs w:val="32"/>
        </w:rPr>
      </w:pPr>
    </w:p>
    <w:p w14:paraId="34D0BC97" w14:textId="77777777" w:rsidR="00044268" w:rsidRPr="00806533" w:rsidRDefault="00044268" w:rsidP="00047EF5">
      <w:pPr>
        <w:rPr>
          <w:b/>
          <w:bCs/>
          <w:sz w:val="32"/>
          <w:szCs w:val="32"/>
        </w:rPr>
      </w:pPr>
    </w:p>
    <w:tbl>
      <w:tblPr>
        <w:tblStyle w:val="Lentelstinklelis"/>
        <w:tblW w:w="15163" w:type="dxa"/>
        <w:tblLayout w:type="fixed"/>
        <w:tblLook w:val="04A0" w:firstRow="1" w:lastRow="0" w:firstColumn="1" w:lastColumn="0" w:noHBand="0" w:noVBand="1"/>
      </w:tblPr>
      <w:tblGrid>
        <w:gridCol w:w="3256"/>
        <w:gridCol w:w="5953"/>
        <w:gridCol w:w="1418"/>
        <w:gridCol w:w="4536"/>
      </w:tblGrid>
      <w:tr w:rsidR="00047EF5" w:rsidRPr="003317E9" w14:paraId="331FC6A0" w14:textId="77777777" w:rsidTr="00CF24BC">
        <w:trPr>
          <w:trHeight w:val="292"/>
        </w:trPr>
        <w:tc>
          <w:tcPr>
            <w:tcW w:w="15163" w:type="dxa"/>
            <w:gridSpan w:val="4"/>
            <w:shd w:val="clear" w:color="auto" w:fill="ED7D31" w:themeFill="accent2"/>
          </w:tcPr>
          <w:p w14:paraId="6BFBBA1C" w14:textId="77777777" w:rsidR="00047EF5" w:rsidRPr="003317E9" w:rsidRDefault="00047EF5" w:rsidP="00CF24BC">
            <w:pPr>
              <w:jc w:val="center"/>
              <w:rPr>
                <w:b/>
                <w:bCs/>
                <w:iCs/>
                <w:szCs w:val="24"/>
              </w:rPr>
            </w:pPr>
            <w:r w:rsidRPr="003317E9">
              <w:rPr>
                <w:rFonts w:eastAsia="Arial Unicode MS"/>
                <w:b/>
                <w:bCs/>
                <w:color w:val="000000"/>
                <w:szCs w:val="24"/>
              </w:rPr>
              <w:lastRenderedPageBreak/>
              <w:t>SVEIKATOS APSAUGA</w:t>
            </w:r>
          </w:p>
        </w:tc>
      </w:tr>
      <w:tr w:rsidR="00047EF5" w:rsidRPr="003317E9" w14:paraId="342FFD29" w14:textId="77777777" w:rsidTr="00CF24BC">
        <w:trPr>
          <w:trHeight w:val="360"/>
        </w:trPr>
        <w:tc>
          <w:tcPr>
            <w:tcW w:w="3256" w:type="dxa"/>
            <w:shd w:val="clear" w:color="auto" w:fill="D9D9D9" w:themeFill="background1" w:themeFillShade="D9"/>
          </w:tcPr>
          <w:p w14:paraId="6513A4BD" w14:textId="77777777" w:rsidR="00047EF5" w:rsidRPr="003317E9" w:rsidRDefault="00047EF5" w:rsidP="00CF24BC">
            <w:pPr>
              <w:jc w:val="both"/>
              <w:rPr>
                <w:b/>
                <w:bCs/>
                <w:sz w:val="20"/>
              </w:rPr>
            </w:pPr>
            <w:r w:rsidRPr="003317E9">
              <w:rPr>
                <w:b/>
                <w:bCs/>
                <w:sz w:val="20"/>
              </w:rPr>
              <w:t>LRV programos prioritetas</w:t>
            </w:r>
          </w:p>
          <w:p w14:paraId="3DA3E4D7" w14:textId="77777777" w:rsidR="00047EF5" w:rsidRPr="003317E9" w:rsidRDefault="00047EF5" w:rsidP="00CF24BC">
            <w:pPr>
              <w:spacing w:after="120"/>
              <w:rPr>
                <w:rFonts w:eastAsia="Arial Unicode MS"/>
                <w:color w:val="000000"/>
                <w:sz w:val="20"/>
              </w:rPr>
            </w:pPr>
          </w:p>
        </w:tc>
        <w:tc>
          <w:tcPr>
            <w:tcW w:w="5953" w:type="dxa"/>
            <w:shd w:val="clear" w:color="auto" w:fill="D9D9D9" w:themeFill="background1" w:themeFillShade="D9"/>
          </w:tcPr>
          <w:p w14:paraId="538EE173" w14:textId="77777777" w:rsidR="00047EF5" w:rsidRPr="003317E9" w:rsidRDefault="00047EF5" w:rsidP="00CF24BC">
            <w:pPr>
              <w:spacing w:after="120"/>
              <w:rPr>
                <w:sz w:val="20"/>
              </w:rPr>
            </w:pPr>
            <w:r w:rsidRPr="003317E9">
              <w:rPr>
                <w:b/>
                <w:bCs/>
                <w:sz w:val="20"/>
              </w:rPr>
              <w:t>LSA siūloma priemonė</w:t>
            </w:r>
          </w:p>
        </w:tc>
        <w:tc>
          <w:tcPr>
            <w:tcW w:w="1418" w:type="dxa"/>
            <w:shd w:val="clear" w:color="auto" w:fill="D9D9D9" w:themeFill="background1" w:themeFillShade="D9"/>
          </w:tcPr>
          <w:p w14:paraId="2B6BCE59" w14:textId="77777777" w:rsidR="00047EF5" w:rsidRPr="003317E9" w:rsidRDefault="00047EF5" w:rsidP="00CF24BC">
            <w:pPr>
              <w:spacing w:after="120"/>
              <w:jc w:val="both"/>
              <w:rPr>
                <w:sz w:val="20"/>
              </w:rPr>
            </w:pPr>
            <w:r w:rsidRPr="003317E9">
              <w:rPr>
                <w:b/>
                <w:bCs/>
                <w:sz w:val="20"/>
              </w:rPr>
              <w:t>Atsakinga institucija</w:t>
            </w:r>
          </w:p>
        </w:tc>
        <w:tc>
          <w:tcPr>
            <w:tcW w:w="4536" w:type="dxa"/>
            <w:shd w:val="clear" w:color="auto" w:fill="D9D9D9" w:themeFill="background1" w:themeFillShade="D9"/>
          </w:tcPr>
          <w:p w14:paraId="61D7F071" w14:textId="77777777" w:rsidR="00047EF5" w:rsidRPr="003317E9" w:rsidRDefault="00047EF5" w:rsidP="00CF24BC">
            <w:pPr>
              <w:spacing w:after="120"/>
              <w:rPr>
                <w:iCs/>
                <w:sz w:val="20"/>
              </w:rPr>
            </w:pPr>
            <w:r w:rsidRPr="003317E9">
              <w:rPr>
                <w:b/>
                <w:bCs/>
                <w:sz w:val="20"/>
              </w:rPr>
              <w:t>Priemonės sąsaja su NPP tikslais, ET rekomendacijomis Lietuvai, RRF prioritetais</w:t>
            </w:r>
          </w:p>
        </w:tc>
      </w:tr>
      <w:tr w:rsidR="00047EF5" w:rsidRPr="003317E9" w14:paraId="30FE03A7" w14:textId="77777777" w:rsidTr="00CF24BC">
        <w:trPr>
          <w:trHeight w:val="360"/>
        </w:trPr>
        <w:tc>
          <w:tcPr>
            <w:tcW w:w="3256" w:type="dxa"/>
            <w:shd w:val="clear" w:color="auto" w:fill="FFFFFF" w:themeFill="background1"/>
          </w:tcPr>
          <w:p w14:paraId="300FED21" w14:textId="77777777" w:rsidR="00047EF5" w:rsidRPr="003317E9" w:rsidRDefault="00047EF5" w:rsidP="00CF24BC">
            <w:pPr>
              <w:spacing w:after="120"/>
              <w:rPr>
                <w:rFonts w:eastAsia="Arial Unicode MS"/>
                <w:color w:val="000000"/>
                <w:sz w:val="20"/>
              </w:rPr>
            </w:pPr>
            <w:r w:rsidRPr="003317E9">
              <w:rPr>
                <w:sz w:val="20"/>
              </w:rPr>
              <w:t>8.1. Projektas: visuomenės sveikatos stiprinimas.</w:t>
            </w:r>
          </w:p>
        </w:tc>
        <w:tc>
          <w:tcPr>
            <w:tcW w:w="5953" w:type="dxa"/>
            <w:shd w:val="clear" w:color="auto" w:fill="FFFFFF" w:themeFill="background1"/>
          </w:tcPr>
          <w:p w14:paraId="6E08DFA8" w14:textId="77777777" w:rsidR="00047EF5" w:rsidRPr="003317E9" w:rsidRDefault="00047EF5" w:rsidP="00CF24BC">
            <w:pPr>
              <w:spacing w:after="120"/>
              <w:rPr>
                <w:sz w:val="20"/>
              </w:rPr>
            </w:pPr>
            <w:r w:rsidRPr="003317E9">
              <w:rPr>
                <w:sz w:val="20"/>
              </w:rPr>
              <w:t>1. Stiprinti Nacionalinio visuomenės sveikatos centro ir savivaldybių visuomenės sveikatos biurų veiklos ir tarpusavio bendradarbiavimą.</w:t>
            </w:r>
          </w:p>
          <w:p w14:paraId="6579139C" w14:textId="77777777" w:rsidR="00047EF5" w:rsidRPr="003317E9" w:rsidRDefault="00047EF5" w:rsidP="00CF24BC">
            <w:pPr>
              <w:spacing w:after="120"/>
              <w:rPr>
                <w:sz w:val="20"/>
              </w:rPr>
            </w:pPr>
            <w:r w:rsidRPr="003317E9">
              <w:rPr>
                <w:sz w:val="20"/>
              </w:rPr>
              <w:t xml:space="preserve">2. Peržiūrėti visuomenės sveikatos specialistų normatyvus savivaldybėse ir įvertinti galimybes mažinti visuomenės sveikatos pareigybei priskirtus normatyvus. </w:t>
            </w:r>
          </w:p>
          <w:p w14:paraId="70F230F2" w14:textId="77777777" w:rsidR="00047EF5" w:rsidRPr="003317E9" w:rsidRDefault="00047EF5" w:rsidP="00CF24BC">
            <w:pPr>
              <w:spacing w:after="120"/>
              <w:rPr>
                <w:sz w:val="20"/>
              </w:rPr>
            </w:pPr>
            <w:r w:rsidRPr="003317E9">
              <w:rPr>
                <w:sz w:val="20"/>
              </w:rPr>
              <w:t>3. Į privalomų pareigybių sąrašą visuomenės sveikatos biuruose įtraukti –visuomenės sveikatos specialistų koordinatoriaus pareigybę.</w:t>
            </w:r>
          </w:p>
          <w:p w14:paraId="164C95A0" w14:textId="77777777" w:rsidR="00047EF5" w:rsidRPr="003317E9" w:rsidRDefault="00047EF5" w:rsidP="00CF24BC">
            <w:pPr>
              <w:spacing w:after="120"/>
              <w:rPr>
                <w:sz w:val="20"/>
                <w:lang w:val="en-US"/>
              </w:rPr>
            </w:pPr>
            <w:r w:rsidRPr="003317E9">
              <w:rPr>
                <w:sz w:val="20"/>
              </w:rPr>
              <w:t>4. Stiprinti, plėsti, atnaujinti visuomenės sveikatos biurų infrastruktūrą.</w:t>
            </w:r>
          </w:p>
        </w:tc>
        <w:tc>
          <w:tcPr>
            <w:tcW w:w="1418" w:type="dxa"/>
            <w:shd w:val="clear" w:color="auto" w:fill="FFFFFF" w:themeFill="background1"/>
          </w:tcPr>
          <w:p w14:paraId="1314C935" w14:textId="77777777" w:rsidR="00047EF5" w:rsidRPr="003317E9" w:rsidRDefault="00047EF5" w:rsidP="00CF24BC">
            <w:pPr>
              <w:spacing w:after="120"/>
              <w:jc w:val="both"/>
              <w:rPr>
                <w:sz w:val="20"/>
              </w:rPr>
            </w:pPr>
            <w:r w:rsidRPr="003317E9">
              <w:rPr>
                <w:sz w:val="20"/>
              </w:rPr>
              <w:t>SAM</w:t>
            </w:r>
          </w:p>
        </w:tc>
        <w:tc>
          <w:tcPr>
            <w:tcW w:w="4536" w:type="dxa"/>
            <w:vMerge w:val="restart"/>
            <w:shd w:val="clear" w:color="auto" w:fill="FFFFFF" w:themeFill="background1"/>
          </w:tcPr>
          <w:p w14:paraId="1F77C4EE" w14:textId="77777777" w:rsidR="00047EF5" w:rsidRPr="003317E9" w:rsidRDefault="00047EF5" w:rsidP="00CF24BC">
            <w:pPr>
              <w:spacing w:after="120"/>
              <w:rPr>
                <w:b/>
                <w:sz w:val="20"/>
              </w:rPr>
            </w:pPr>
            <w:r w:rsidRPr="003317E9">
              <w:rPr>
                <w:b/>
                <w:bCs/>
                <w:sz w:val="20"/>
              </w:rPr>
              <w:t>Atitinka</w:t>
            </w:r>
            <w:r w:rsidRPr="003317E9">
              <w:rPr>
                <w:sz w:val="20"/>
              </w:rPr>
              <w:t xml:space="preserve"> net kelis NPP tikslus, iš kurių labiausiai:</w:t>
            </w:r>
          </w:p>
          <w:p w14:paraId="50CAADA9" w14:textId="77777777" w:rsidR="00047EF5" w:rsidRPr="003317E9" w:rsidRDefault="00047EF5" w:rsidP="00CF24BC">
            <w:pPr>
              <w:spacing w:after="120"/>
              <w:rPr>
                <w:sz w:val="20"/>
              </w:rPr>
            </w:pPr>
            <w:r w:rsidRPr="003317E9">
              <w:rPr>
                <w:b/>
                <w:sz w:val="20"/>
              </w:rPr>
              <w:t>NPP 2 strateginis tikslas</w:t>
            </w:r>
            <w:r w:rsidRPr="003317E9">
              <w:rPr>
                <w:sz w:val="20"/>
              </w:rPr>
              <w:t xml:space="preserve">. Didinti gyventojų socialinę gerovę ir </w:t>
            </w:r>
            <w:proofErr w:type="spellStart"/>
            <w:r w:rsidRPr="003317E9">
              <w:rPr>
                <w:sz w:val="20"/>
              </w:rPr>
              <w:t>įtrauktį</w:t>
            </w:r>
            <w:proofErr w:type="spellEnd"/>
            <w:r w:rsidRPr="003317E9">
              <w:rPr>
                <w:sz w:val="20"/>
              </w:rPr>
              <w:t>, stiprinti sveikatą ir gerinti Lietuvos demografinę padėtį.</w:t>
            </w:r>
          </w:p>
          <w:p w14:paraId="0A750603" w14:textId="77777777" w:rsidR="00047EF5" w:rsidRPr="003317E9" w:rsidRDefault="00047EF5" w:rsidP="00CF24BC">
            <w:pPr>
              <w:spacing w:after="120"/>
              <w:rPr>
                <w:b/>
                <w:sz w:val="20"/>
              </w:rPr>
            </w:pPr>
            <w:r w:rsidRPr="003317E9">
              <w:rPr>
                <w:b/>
                <w:sz w:val="20"/>
              </w:rPr>
              <w:t>NPP 7 strateginis tikslas.</w:t>
            </w:r>
            <w:r w:rsidRPr="003317E9">
              <w:rPr>
                <w:sz w:val="20"/>
              </w:rPr>
              <w:t xml:space="preserve"> Tvariai ir subalansuotai vystyti Lietuvos teritoriją ir mažinti regioninę atskirtį</w:t>
            </w:r>
            <w:r w:rsidRPr="003317E9">
              <w:rPr>
                <w:b/>
                <w:sz w:val="20"/>
              </w:rPr>
              <w:t>.</w:t>
            </w:r>
          </w:p>
          <w:p w14:paraId="46745DDB" w14:textId="77777777" w:rsidR="00047EF5" w:rsidRPr="003317E9" w:rsidRDefault="00047EF5" w:rsidP="00CF24BC">
            <w:pPr>
              <w:spacing w:after="120"/>
              <w:rPr>
                <w:sz w:val="20"/>
              </w:rPr>
            </w:pPr>
            <w:r w:rsidRPr="003317E9">
              <w:rPr>
                <w:b/>
                <w:bCs/>
                <w:sz w:val="20"/>
              </w:rPr>
              <w:t>ET 1 rekomendacija (2020).</w:t>
            </w:r>
            <w:r w:rsidRPr="003317E9">
              <w:rPr>
                <w:sz w:val="20"/>
              </w:rPr>
              <w:t xml:space="preserve"> Laikantis bendrosios nukrypti leidžiančios išlygos, imtis visų būtinų priemonių, kad būtų veiksmingai kovojama su pandemija, palaikoma ekonomika ir remiamas būsimas atsigavimas &lt;...&gt;. Didinti sveikatos sistemos atsparumą, be kita ko, sutelkiant adekvatų finansavimą ir sprendžiant sveikatos priežiūros darbuotojų ir svarbių medicinos reikmenų trūkumo problemą. Gerinti sveikatos priežiūros paslaugų prieinamumą ir kokybę. </w:t>
            </w:r>
          </w:p>
          <w:p w14:paraId="7941804F" w14:textId="77777777" w:rsidR="00047EF5" w:rsidRPr="003317E9" w:rsidRDefault="00047EF5" w:rsidP="00CF24BC">
            <w:pPr>
              <w:spacing w:after="120"/>
              <w:rPr>
                <w:b/>
                <w:sz w:val="20"/>
              </w:rPr>
            </w:pPr>
            <w:r w:rsidRPr="003317E9">
              <w:rPr>
                <w:b/>
                <w:sz w:val="20"/>
              </w:rPr>
              <w:t xml:space="preserve">ET 2 rekomendacija (2019). </w:t>
            </w:r>
            <w:r w:rsidRPr="003317E9">
              <w:rPr>
                <w:bCs/>
                <w:sz w:val="20"/>
              </w:rPr>
              <w:t xml:space="preserve">Gerinti sveikatos priežiūros paslaugų kokybę, </w:t>
            </w:r>
            <w:proofErr w:type="spellStart"/>
            <w:r w:rsidRPr="003317E9">
              <w:rPr>
                <w:bCs/>
                <w:sz w:val="20"/>
              </w:rPr>
              <w:t>įperkamumą</w:t>
            </w:r>
            <w:proofErr w:type="spellEnd"/>
            <w:r w:rsidRPr="003317E9">
              <w:rPr>
                <w:bCs/>
                <w:sz w:val="20"/>
              </w:rPr>
              <w:t xml:space="preserve"> ir sistemos efektyvumą.</w:t>
            </w:r>
          </w:p>
          <w:p w14:paraId="60E44A29" w14:textId="77777777" w:rsidR="00047EF5" w:rsidRPr="003317E9" w:rsidRDefault="00047EF5" w:rsidP="00CF24BC">
            <w:pPr>
              <w:spacing w:after="120"/>
              <w:rPr>
                <w:bCs/>
                <w:sz w:val="20"/>
              </w:rPr>
            </w:pPr>
            <w:r w:rsidRPr="003317E9">
              <w:rPr>
                <w:b/>
                <w:sz w:val="20"/>
              </w:rPr>
              <w:t xml:space="preserve">Atitinka </w:t>
            </w:r>
            <w:r w:rsidRPr="003317E9">
              <w:rPr>
                <w:bCs/>
                <w:sz w:val="20"/>
              </w:rPr>
              <w:t>net kelias RRF taikymo sritis, iš kurių labiausiai:</w:t>
            </w:r>
            <w:r w:rsidRPr="003317E9">
              <w:rPr>
                <w:b/>
                <w:sz w:val="20"/>
              </w:rPr>
              <w:t xml:space="preserve"> </w:t>
            </w:r>
            <w:r w:rsidRPr="003317E9">
              <w:rPr>
                <w:b/>
                <w:bCs/>
                <w:sz w:val="20"/>
              </w:rPr>
              <w:t>sveikata, ekonominė, socialinė ir teritorinė sanglauda, atsparumas.</w:t>
            </w:r>
          </w:p>
        </w:tc>
      </w:tr>
      <w:tr w:rsidR="00047EF5" w:rsidRPr="003317E9" w14:paraId="1CF94FE8" w14:textId="77777777" w:rsidTr="00CF24BC">
        <w:trPr>
          <w:trHeight w:val="2090"/>
        </w:trPr>
        <w:tc>
          <w:tcPr>
            <w:tcW w:w="3256" w:type="dxa"/>
            <w:shd w:val="clear" w:color="auto" w:fill="FFFFFF" w:themeFill="background1"/>
          </w:tcPr>
          <w:p w14:paraId="1BDEE1B5" w14:textId="77777777" w:rsidR="00047EF5" w:rsidRPr="003317E9" w:rsidRDefault="00047EF5" w:rsidP="00CF24BC">
            <w:pPr>
              <w:spacing w:after="120"/>
              <w:rPr>
                <w:sz w:val="20"/>
              </w:rPr>
            </w:pPr>
            <w:r w:rsidRPr="003317E9">
              <w:rPr>
                <w:sz w:val="20"/>
              </w:rPr>
              <w:t>8.2. Projektas: asmens sveikatos priežiūros paslaugų kokybės gerinimas.</w:t>
            </w:r>
          </w:p>
          <w:p w14:paraId="50858D88" w14:textId="77777777" w:rsidR="00047EF5" w:rsidRPr="003317E9" w:rsidRDefault="00047EF5" w:rsidP="00CF24BC">
            <w:pPr>
              <w:spacing w:after="120"/>
              <w:rPr>
                <w:sz w:val="20"/>
              </w:rPr>
            </w:pPr>
            <w:r w:rsidRPr="003317E9">
              <w:rPr>
                <w:bCs/>
                <w:sz w:val="20"/>
              </w:rPr>
              <w:t>8.3. Projektas: sveikatos sistemos atsparumas grėsmėms ir pasirengimas ateities iššūkiams.</w:t>
            </w:r>
          </w:p>
        </w:tc>
        <w:tc>
          <w:tcPr>
            <w:tcW w:w="5953" w:type="dxa"/>
            <w:shd w:val="clear" w:color="auto" w:fill="FFFFFF" w:themeFill="background1"/>
          </w:tcPr>
          <w:p w14:paraId="2E937DC3" w14:textId="77777777" w:rsidR="00047EF5" w:rsidRPr="003317E9" w:rsidRDefault="00047EF5" w:rsidP="00CF24BC">
            <w:pPr>
              <w:spacing w:after="120"/>
              <w:rPr>
                <w:sz w:val="20"/>
              </w:rPr>
            </w:pPr>
            <w:r w:rsidRPr="003317E9">
              <w:rPr>
                <w:sz w:val="20"/>
              </w:rPr>
              <w:t>1. Modernizuoti sveikatos priežiūros įstaigų infrastruktūrą, diegti IT priemonių, užtikrinant resursų panaudojimo efektyvumą.</w:t>
            </w:r>
          </w:p>
          <w:p w14:paraId="6B4C7622" w14:textId="77777777" w:rsidR="00047EF5" w:rsidRPr="003317E9" w:rsidRDefault="00047EF5" w:rsidP="00CF24BC">
            <w:pPr>
              <w:spacing w:after="120"/>
              <w:rPr>
                <w:bCs/>
                <w:sz w:val="20"/>
              </w:rPr>
            </w:pPr>
            <w:r w:rsidRPr="003317E9">
              <w:rPr>
                <w:sz w:val="20"/>
              </w:rPr>
              <w:t>2. Užtikrinti greitosios medicinos pagalbos (GMP) teikiamų paslaugų kokybę ir prieinamumą. Peržiūrėti teisės aktus, kurie reglamentuoja GMP paslaugų teikimą ir išlaidų apmokėjimą.</w:t>
            </w:r>
            <w:r w:rsidRPr="003317E9">
              <w:rPr>
                <w:bCs/>
                <w:sz w:val="20"/>
              </w:rPr>
              <w:t xml:space="preserve"> Plėsti GMP automobilių parką.</w:t>
            </w:r>
          </w:p>
          <w:p w14:paraId="6F5CDD73" w14:textId="77777777" w:rsidR="00047EF5" w:rsidRPr="003317E9" w:rsidRDefault="00047EF5" w:rsidP="00CF24BC">
            <w:pPr>
              <w:spacing w:after="120"/>
              <w:rPr>
                <w:sz w:val="20"/>
              </w:rPr>
            </w:pPr>
            <w:r w:rsidRPr="003317E9">
              <w:rPr>
                <w:sz w:val="20"/>
              </w:rPr>
              <w:t>3. Plėsti mobilių sveikatos priežiūros paslaugų teikimą.</w:t>
            </w:r>
          </w:p>
          <w:p w14:paraId="58A88295" w14:textId="77777777" w:rsidR="00047EF5" w:rsidRPr="003317E9" w:rsidRDefault="00047EF5" w:rsidP="00CF24BC">
            <w:pPr>
              <w:spacing w:after="120"/>
              <w:rPr>
                <w:sz w:val="20"/>
              </w:rPr>
            </w:pPr>
            <w:r w:rsidRPr="003317E9">
              <w:rPr>
                <w:sz w:val="20"/>
              </w:rPr>
              <w:t>4. Plėsti telemedicinos paslaugų teikimą</w:t>
            </w:r>
          </w:p>
        </w:tc>
        <w:tc>
          <w:tcPr>
            <w:tcW w:w="1418" w:type="dxa"/>
            <w:shd w:val="clear" w:color="auto" w:fill="FFFFFF" w:themeFill="background1"/>
          </w:tcPr>
          <w:p w14:paraId="53A66711" w14:textId="77777777" w:rsidR="00047EF5" w:rsidRPr="003317E9" w:rsidRDefault="00047EF5" w:rsidP="00CF24BC">
            <w:pPr>
              <w:spacing w:after="120"/>
              <w:jc w:val="both"/>
              <w:rPr>
                <w:sz w:val="20"/>
              </w:rPr>
            </w:pPr>
            <w:r w:rsidRPr="003317E9">
              <w:rPr>
                <w:sz w:val="20"/>
              </w:rPr>
              <w:t>SAM</w:t>
            </w:r>
          </w:p>
        </w:tc>
        <w:tc>
          <w:tcPr>
            <w:tcW w:w="4536" w:type="dxa"/>
            <w:vMerge/>
            <w:shd w:val="clear" w:color="auto" w:fill="FFFFFF" w:themeFill="background1"/>
          </w:tcPr>
          <w:p w14:paraId="31CCE852" w14:textId="77777777" w:rsidR="00047EF5" w:rsidRPr="003317E9" w:rsidRDefault="00047EF5" w:rsidP="00CF24BC">
            <w:pPr>
              <w:spacing w:after="120"/>
              <w:rPr>
                <w:iCs/>
                <w:sz w:val="20"/>
              </w:rPr>
            </w:pPr>
          </w:p>
        </w:tc>
      </w:tr>
      <w:tr w:rsidR="00047EF5" w:rsidRPr="003317E9" w14:paraId="4F74C310" w14:textId="77777777" w:rsidTr="00CF24BC">
        <w:trPr>
          <w:trHeight w:val="360"/>
        </w:trPr>
        <w:tc>
          <w:tcPr>
            <w:tcW w:w="3256" w:type="dxa"/>
            <w:shd w:val="clear" w:color="auto" w:fill="FFFFFF" w:themeFill="background1"/>
          </w:tcPr>
          <w:p w14:paraId="237B4103" w14:textId="77777777" w:rsidR="00047EF5" w:rsidRPr="003317E9" w:rsidRDefault="00047EF5" w:rsidP="00CF24BC">
            <w:pPr>
              <w:spacing w:after="120"/>
              <w:rPr>
                <w:bCs/>
                <w:sz w:val="20"/>
              </w:rPr>
            </w:pPr>
            <w:r w:rsidRPr="003317E9">
              <w:rPr>
                <w:bCs/>
                <w:sz w:val="20"/>
              </w:rPr>
              <w:t>8.4. Projektas: kompetentingas ir adekvačiai apmokamas sveikatos sistemos specialistas.</w:t>
            </w:r>
          </w:p>
        </w:tc>
        <w:tc>
          <w:tcPr>
            <w:tcW w:w="5953" w:type="dxa"/>
            <w:shd w:val="clear" w:color="auto" w:fill="FFFFFF" w:themeFill="background1"/>
          </w:tcPr>
          <w:p w14:paraId="4A79DFBD" w14:textId="77777777" w:rsidR="00047EF5" w:rsidRPr="003317E9" w:rsidRDefault="00047EF5" w:rsidP="00CF24BC">
            <w:pPr>
              <w:spacing w:after="120"/>
              <w:rPr>
                <w:bCs/>
                <w:sz w:val="20"/>
              </w:rPr>
            </w:pPr>
            <w:r w:rsidRPr="003317E9">
              <w:rPr>
                <w:bCs/>
                <w:sz w:val="20"/>
              </w:rPr>
              <w:t>Sukurti gydytojų ir kitų medicinos specialistų pritraukimo į regionus sistemą.</w:t>
            </w:r>
          </w:p>
          <w:p w14:paraId="408932B9" w14:textId="77777777" w:rsidR="00047EF5" w:rsidRPr="003317E9" w:rsidRDefault="00047EF5" w:rsidP="00CF24BC">
            <w:pPr>
              <w:spacing w:after="120"/>
              <w:rPr>
                <w:bCs/>
                <w:sz w:val="20"/>
              </w:rPr>
            </w:pPr>
          </w:p>
        </w:tc>
        <w:tc>
          <w:tcPr>
            <w:tcW w:w="1418" w:type="dxa"/>
            <w:shd w:val="clear" w:color="auto" w:fill="FFFFFF" w:themeFill="background1"/>
          </w:tcPr>
          <w:p w14:paraId="6A6BAD9C" w14:textId="77777777" w:rsidR="00047EF5" w:rsidRPr="003317E9" w:rsidRDefault="00047EF5" w:rsidP="00CF24BC">
            <w:pPr>
              <w:spacing w:after="120"/>
              <w:jc w:val="both"/>
              <w:rPr>
                <w:sz w:val="20"/>
              </w:rPr>
            </w:pPr>
            <w:r w:rsidRPr="003317E9">
              <w:rPr>
                <w:sz w:val="20"/>
              </w:rPr>
              <w:t>SAM,</w:t>
            </w:r>
          </w:p>
          <w:p w14:paraId="3FF021AC" w14:textId="77777777" w:rsidR="00047EF5" w:rsidRPr="003317E9" w:rsidRDefault="00047EF5" w:rsidP="00CF24BC">
            <w:pPr>
              <w:spacing w:after="120"/>
              <w:jc w:val="both"/>
              <w:rPr>
                <w:sz w:val="20"/>
              </w:rPr>
            </w:pPr>
            <w:r w:rsidRPr="003317E9">
              <w:rPr>
                <w:sz w:val="20"/>
              </w:rPr>
              <w:t>SADM</w:t>
            </w:r>
          </w:p>
        </w:tc>
        <w:tc>
          <w:tcPr>
            <w:tcW w:w="4536" w:type="dxa"/>
            <w:vMerge/>
            <w:shd w:val="clear" w:color="auto" w:fill="FFFFFF" w:themeFill="background1"/>
          </w:tcPr>
          <w:p w14:paraId="7A48A1D1" w14:textId="77777777" w:rsidR="00047EF5" w:rsidRPr="003317E9" w:rsidRDefault="00047EF5" w:rsidP="00CF24BC">
            <w:pPr>
              <w:spacing w:after="120"/>
              <w:rPr>
                <w:iCs/>
                <w:sz w:val="20"/>
              </w:rPr>
            </w:pPr>
          </w:p>
        </w:tc>
      </w:tr>
      <w:tr w:rsidR="00047EF5" w:rsidRPr="003317E9" w14:paraId="62FB8D5B" w14:textId="77777777" w:rsidTr="00CF24BC">
        <w:trPr>
          <w:trHeight w:val="360"/>
        </w:trPr>
        <w:tc>
          <w:tcPr>
            <w:tcW w:w="3256" w:type="dxa"/>
            <w:shd w:val="clear" w:color="auto" w:fill="FFFFFF" w:themeFill="background1"/>
          </w:tcPr>
          <w:p w14:paraId="4D6C2BA2" w14:textId="77777777" w:rsidR="00047EF5" w:rsidRPr="003317E9" w:rsidRDefault="00047EF5" w:rsidP="00CF24BC">
            <w:pPr>
              <w:spacing w:after="120"/>
              <w:rPr>
                <w:rFonts w:eastAsia="Arial Unicode MS"/>
                <w:bCs/>
                <w:color w:val="000000"/>
                <w:sz w:val="20"/>
              </w:rPr>
            </w:pPr>
            <w:r w:rsidRPr="003317E9">
              <w:rPr>
                <w:bCs/>
                <w:sz w:val="20"/>
              </w:rPr>
              <w:t>8.4.2. Aukšta sveikatos priežiūros specialistų kvalifikacija.</w:t>
            </w:r>
          </w:p>
        </w:tc>
        <w:tc>
          <w:tcPr>
            <w:tcW w:w="5953" w:type="dxa"/>
            <w:shd w:val="clear" w:color="auto" w:fill="FFFFFF" w:themeFill="background1"/>
          </w:tcPr>
          <w:p w14:paraId="49D2B221" w14:textId="77777777" w:rsidR="00047EF5" w:rsidRPr="003317E9" w:rsidRDefault="00047EF5" w:rsidP="00CF24BC">
            <w:pPr>
              <w:spacing w:after="120"/>
              <w:rPr>
                <w:bCs/>
                <w:sz w:val="20"/>
              </w:rPr>
            </w:pPr>
            <w:r w:rsidRPr="003317E9">
              <w:rPr>
                <w:bCs/>
                <w:sz w:val="20"/>
              </w:rPr>
              <w:t>Ugdyti medicinos personalo skaitmeninius įgūdžius.</w:t>
            </w:r>
          </w:p>
        </w:tc>
        <w:tc>
          <w:tcPr>
            <w:tcW w:w="1418" w:type="dxa"/>
            <w:shd w:val="clear" w:color="auto" w:fill="FFFFFF" w:themeFill="background1"/>
          </w:tcPr>
          <w:p w14:paraId="33087262" w14:textId="77777777" w:rsidR="00047EF5" w:rsidRPr="003317E9" w:rsidRDefault="00047EF5" w:rsidP="00CF24BC">
            <w:pPr>
              <w:spacing w:after="120"/>
              <w:jc w:val="both"/>
              <w:rPr>
                <w:sz w:val="20"/>
              </w:rPr>
            </w:pPr>
            <w:r w:rsidRPr="003317E9">
              <w:rPr>
                <w:sz w:val="20"/>
              </w:rPr>
              <w:t>SAM</w:t>
            </w:r>
          </w:p>
        </w:tc>
        <w:tc>
          <w:tcPr>
            <w:tcW w:w="4536" w:type="dxa"/>
            <w:vMerge/>
            <w:shd w:val="clear" w:color="auto" w:fill="FFFFFF" w:themeFill="background1"/>
          </w:tcPr>
          <w:p w14:paraId="6618DDA2" w14:textId="77777777" w:rsidR="00047EF5" w:rsidRPr="003317E9" w:rsidRDefault="00047EF5" w:rsidP="00CF24BC">
            <w:pPr>
              <w:spacing w:after="120"/>
              <w:rPr>
                <w:iCs/>
                <w:sz w:val="20"/>
              </w:rPr>
            </w:pPr>
          </w:p>
        </w:tc>
      </w:tr>
    </w:tbl>
    <w:p w14:paraId="676ABF69" w14:textId="77777777" w:rsidR="00047EF5" w:rsidRDefault="00047EF5" w:rsidP="00047EF5">
      <w:pPr>
        <w:spacing w:after="120"/>
        <w:rPr>
          <w:sz w:val="20"/>
        </w:rPr>
      </w:pPr>
    </w:p>
    <w:p w14:paraId="053E19CE" w14:textId="77777777" w:rsidR="00047EF5" w:rsidRDefault="00047EF5" w:rsidP="00047EF5">
      <w:pPr>
        <w:spacing w:after="120"/>
        <w:rPr>
          <w:sz w:val="20"/>
        </w:rPr>
      </w:pPr>
    </w:p>
    <w:p w14:paraId="3A70B493" w14:textId="77777777" w:rsidR="00047EF5" w:rsidRDefault="00047EF5" w:rsidP="00047EF5">
      <w:pPr>
        <w:spacing w:after="120"/>
        <w:rPr>
          <w:sz w:val="20"/>
        </w:rPr>
      </w:pPr>
    </w:p>
    <w:p w14:paraId="10CC42D9" w14:textId="77777777" w:rsidR="00047EF5" w:rsidRDefault="00047EF5" w:rsidP="00047EF5">
      <w:pPr>
        <w:spacing w:after="120"/>
        <w:rPr>
          <w:sz w:val="20"/>
        </w:rPr>
      </w:pPr>
    </w:p>
    <w:p w14:paraId="072D3156" w14:textId="0BAED481" w:rsidR="00047EF5" w:rsidRDefault="00047EF5" w:rsidP="00047EF5">
      <w:pPr>
        <w:spacing w:after="120"/>
        <w:rPr>
          <w:sz w:val="20"/>
        </w:rPr>
      </w:pPr>
    </w:p>
    <w:p w14:paraId="4D1B1E65" w14:textId="77777777" w:rsidR="00044268" w:rsidRDefault="00044268" w:rsidP="00047EF5">
      <w:pPr>
        <w:spacing w:after="120"/>
        <w:rPr>
          <w:sz w:val="20"/>
        </w:rPr>
      </w:pPr>
    </w:p>
    <w:p w14:paraId="6BCA740D" w14:textId="77777777" w:rsidR="00047EF5" w:rsidRDefault="00047EF5" w:rsidP="00047EF5">
      <w:pPr>
        <w:spacing w:after="120"/>
        <w:rPr>
          <w:sz w:val="20"/>
        </w:rPr>
      </w:pPr>
    </w:p>
    <w:tbl>
      <w:tblPr>
        <w:tblStyle w:val="Lentelstinklelis"/>
        <w:tblW w:w="15163" w:type="dxa"/>
        <w:tblLayout w:type="fixed"/>
        <w:tblLook w:val="04A0" w:firstRow="1" w:lastRow="0" w:firstColumn="1" w:lastColumn="0" w:noHBand="0" w:noVBand="1"/>
      </w:tblPr>
      <w:tblGrid>
        <w:gridCol w:w="2689"/>
        <w:gridCol w:w="4110"/>
        <w:gridCol w:w="1134"/>
        <w:gridCol w:w="7230"/>
      </w:tblGrid>
      <w:tr w:rsidR="00047EF5" w:rsidRPr="003317E9" w14:paraId="2EAD3A66" w14:textId="77777777" w:rsidTr="00CF24BC">
        <w:trPr>
          <w:trHeight w:val="307"/>
        </w:trPr>
        <w:tc>
          <w:tcPr>
            <w:tcW w:w="15163" w:type="dxa"/>
            <w:gridSpan w:val="4"/>
            <w:shd w:val="clear" w:color="auto" w:fill="4472C4" w:themeFill="accent5"/>
          </w:tcPr>
          <w:p w14:paraId="4999DC82" w14:textId="77777777" w:rsidR="00047EF5" w:rsidRPr="003317E9" w:rsidRDefault="00047EF5" w:rsidP="00CF24BC">
            <w:pPr>
              <w:jc w:val="center"/>
              <w:rPr>
                <w:b/>
                <w:bCs/>
                <w:iCs/>
                <w:szCs w:val="24"/>
              </w:rPr>
            </w:pPr>
            <w:r w:rsidRPr="003317E9">
              <w:rPr>
                <w:rFonts w:eastAsia="Arial Unicode MS"/>
                <w:b/>
                <w:bCs/>
                <w:color w:val="000000"/>
                <w:szCs w:val="24"/>
              </w:rPr>
              <w:lastRenderedPageBreak/>
              <w:t>EKONOMIKA</w:t>
            </w:r>
          </w:p>
        </w:tc>
      </w:tr>
      <w:tr w:rsidR="00047EF5" w:rsidRPr="003317E9" w14:paraId="7D80CF0C" w14:textId="77777777" w:rsidTr="00CF24BC">
        <w:trPr>
          <w:trHeight w:val="360"/>
        </w:trPr>
        <w:tc>
          <w:tcPr>
            <w:tcW w:w="2689" w:type="dxa"/>
            <w:shd w:val="clear" w:color="auto" w:fill="D9D9D9" w:themeFill="background1" w:themeFillShade="D9"/>
          </w:tcPr>
          <w:p w14:paraId="46A6265C" w14:textId="77777777" w:rsidR="00047EF5" w:rsidRPr="003317E9" w:rsidRDefault="00047EF5" w:rsidP="00CF24BC">
            <w:pPr>
              <w:jc w:val="both"/>
              <w:rPr>
                <w:b/>
                <w:bCs/>
                <w:sz w:val="20"/>
              </w:rPr>
            </w:pPr>
            <w:r w:rsidRPr="003317E9">
              <w:rPr>
                <w:b/>
                <w:bCs/>
                <w:sz w:val="20"/>
              </w:rPr>
              <w:t>LRV programos prioritetas</w:t>
            </w:r>
          </w:p>
          <w:p w14:paraId="6F1A5FF3" w14:textId="77777777" w:rsidR="00047EF5" w:rsidRPr="003317E9" w:rsidRDefault="00047EF5" w:rsidP="00CF24BC">
            <w:pPr>
              <w:spacing w:after="120"/>
              <w:rPr>
                <w:rFonts w:eastAsia="Arial Unicode MS"/>
                <w:color w:val="000000"/>
                <w:sz w:val="20"/>
              </w:rPr>
            </w:pPr>
          </w:p>
        </w:tc>
        <w:tc>
          <w:tcPr>
            <w:tcW w:w="4110" w:type="dxa"/>
            <w:shd w:val="clear" w:color="auto" w:fill="D9D9D9" w:themeFill="background1" w:themeFillShade="D9"/>
          </w:tcPr>
          <w:p w14:paraId="61DFE6E2" w14:textId="77777777" w:rsidR="00047EF5" w:rsidRPr="003317E9" w:rsidRDefault="00047EF5" w:rsidP="00CF24BC">
            <w:pPr>
              <w:spacing w:after="120"/>
              <w:rPr>
                <w:sz w:val="20"/>
              </w:rPr>
            </w:pPr>
            <w:r w:rsidRPr="003317E9">
              <w:rPr>
                <w:b/>
                <w:bCs/>
                <w:sz w:val="20"/>
              </w:rPr>
              <w:t>LSA siūloma priemonė</w:t>
            </w:r>
          </w:p>
        </w:tc>
        <w:tc>
          <w:tcPr>
            <w:tcW w:w="1134" w:type="dxa"/>
            <w:shd w:val="clear" w:color="auto" w:fill="D9D9D9" w:themeFill="background1" w:themeFillShade="D9"/>
          </w:tcPr>
          <w:p w14:paraId="65A964CF" w14:textId="77777777" w:rsidR="00047EF5" w:rsidRPr="003317E9" w:rsidRDefault="00047EF5" w:rsidP="00CF24BC">
            <w:pPr>
              <w:spacing w:after="120"/>
              <w:jc w:val="both"/>
              <w:rPr>
                <w:sz w:val="20"/>
              </w:rPr>
            </w:pPr>
            <w:r w:rsidRPr="003317E9">
              <w:rPr>
                <w:b/>
                <w:bCs/>
                <w:sz w:val="20"/>
              </w:rPr>
              <w:t>Atsakinga institucija</w:t>
            </w:r>
          </w:p>
        </w:tc>
        <w:tc>
          <w:tcPr>
            <w:tcW w:w="7230" w:type="dxa"/>
            <w:shd w:val="clear" w:color="auto" w:fill="D9D9D9" w:themeFill="background1" w:themeFillShade="D9"/>
          </w:tcPr>
          <w:p w14:paraId="2E8D4AF1" w14:textId="77777777" w:rsidR="00047EF5" w:rsidRPr="003317E9" w:rsidRDefault="00047EF5" w:rsidP="00CF24BC">
            <w:pPr>
              <w:spacing w:after="120"/>
              <w:rPr>
                <w:iCs/>
                <w:sz w:val="20"/>
              </w:rPr>
            </w:pPr>
            <w:r w:rsidRPr="003317E9">
              <w:rPr>
                <w:b/>
                <w:bCs/>
                <w:sz w:val="20"/>
              </w:rPr>
              <w:t>Priemonės sąsaja su NPP tikslais, ET rekomendacijomis Lietuvai, RRF prioritetais</w:t>
            </w:r>
          </w:p>
        </w:tc>
      </w:tr>
      <w:tr w:rsidR="00047EF5" w:rsidRPr="003317E9" w14:paraId="0EF8A512" w14:textId="77777777" w:rsidTr="00CF24BC">
        <w:trPr>
          <w:trHeight w:val="360"/>
        </w:trPr>
        <w:tc>
          <w:tcPr>
            <w:tcW w:w="2689" w:type="dxa"/>
            <w:shd w:val="clear" w:color="auto" w:fill="FFFFFF" w:themeFill="background1"/>
          </w:tcPr>
          <w:p w14:paraId="5193F4D9" w14:textId="77777777" w:rsidR="00047EF5" w:rsidRPr="003317E9" w:rsidRDefault="00047EF5" w:rsidP="00CF24BC">
            <w:pPr>
              <w:spacing w:after="120"/>
              <w:rPr>
                <w:sz w:val="20"/>
              </w:rPr>
            </w:pPr>
            <w:r w:rsidRPr="003317E9">
              <w:rPr>
                <w:sz w:val="20"/>
              </w:rPr>
              <w:t>10.2. Projektas: universalus verslumas.</w:t>
            </w:r>
          </w:p>
          <w:p w14:paraId="3424FB7B" w14:textId="77777777" w:rsidR="00047EF5" w:rsidRPr="003317E9" w:rsidRDefault="00047EF5" w:rsidP="00CF24BC">
            <w:pPr>
              <w:spacing w:after="120"/>
              <w:rPr>
                <w:rFonts w:eastAsia="Arial Unicode MS"/>
                <w:color w:val="000000"/>
                <w:sz w:val="20"/>
              </w:rPr>
            </w:pPr>
            <w:r w:rsidRPr="003317E9">
              <w:rPr>
                <w:sz w:val="20"/>
              </w:rPr>
              <w:t>10.2.4. Investicijos regionuose.</w:t>
            </w:r>
          </w:p>
        </w:tc>
        <w:tc>
          <w:tcPr>
            <w:tcW w:w="4110" w:type="dxa"/>
            <w:shd w:val="clear" w:color="auto" w:fill="FFFFFF" w:themeFill="background1"/>
          </w:tcPr>
          <w:p w14:paraId="09D05E93" w14:textId="219A4D1A" w:rsidR="00047EF5" w:rsidRPr="003317E9" w:rsidRDefault="00047EF5" w:rsidP="00CF24BC">
            <w:pPr>
              <w:spacing w:after="120"/>
              <w:rPr>
                <w:sz w:val="20"/>
              </w:rPr>
            </w:pPr>
            <w:r w:rsidRPr="003317E9">
              <w:rPr>
                <w:sz w:val="20"/>
              </w:rPr>
              <w:t>1.</w:t>
            </w:r>
            <w:r w:rsidR="00020E91">
              <w:t xml:space="preserve"> </w:t>
            </w:r>
            <w:r w:rsidR="00020E91" w:rsidRPr="00020E91">
              <w:rPr>
                <w:sz w:val="20"/>
              </w:rPr>
              <w:t>Skatinti išmanių regionų ir išmanių miestų plėtrą – identifikuoti prioritetines investicijų sritis ir diegti išmanius sprendimus</w:t>
            </w:r>
            <w:r w:rsidRPr="003317E9">
              <w:rPr>
                <w:sz w:val="20"/>
              </w:rPr>
              <w:t xml:space="preserve">. </w:t>
            </w:r>
          </w:p>
          <w:p w14:paraId="19C8EC6B" w14:textId="77777777" w:rsidR="00047EF5" w:rsidRPr="003317E9" w:rsidRDefault="00047EF5" w:rsidP="00CF24BC">
            <w:pPr>
              <w:spacing w:after="120"/>
              <w:rPr>
                <w:sz w:val="20"/>
              </w:rPr>
            </w:pPr>
            <w:r w:rsidRPr="003317E9">
              <w:rPr>
                <w:sz w:val="20"/>
              </w:rPr>
              <w:t xml:space="preserve">2. Įgyvendinti turizmo sektoriaus reformą. </w:t>
            </w:r>
          </w:p>
          <w:p w14:paraId="4C22957E" w14:textId="77777777" w:rsidR="00047EF5" w:rsidRPr="003317E9" w:rsidRDefault="00047EF5" w:rsidP="00CF24BC">
            <w:pPr>
              <w:spacing w:after="120"/>
              <w:rPr>
                <w:sz w:val="20"/>
              </w:rPr>
            </w:pPr>
            <w:r w:rsidRPr="003317E9">
              <w:rPr>
                <w:sz w:val="20"/>
              </w:rPr>
              <w:t xml:space="preserve">3. Skatinti ir remti laisvųjų ekonominių zonų, pramonės parkų plėtrą. </w:t>
            </w:r>
          </w:p>
        </w:tc>
        <w:tc>
          <w:tcPr>
            <w:tcW w:w="1134" w:type="dxa"/>
            <w:shd w:val="clear" w:color="auto" w:fill="FFFFFF" w:themeFill="background1"/>
          </w:tcPr>
          <w:p w14:paraId="65CDEDB2" w14:textId="77777777" w:rsidR="00047EF5" w:rsidRPr="003317E9" w:rsidRDefault="00047EF5" w:rsidP="00CF24BC">
            <w:pPr>
              <w:spacing w:after="120"/>
              <w:jc w:val="both"/>
              <w:rPr>
                <w:sz w:val="20"/>
              </w:rPr>
            </w:pPr>
            <w:r w:rsidRPr="003317E9">
              <w:rPr>
                <w:sz w:val="20"/>
              </w:rPr>
              <w:t>VRM, FM, EIM</w:t>
            </w:r>
          </w:p>
          <w:p w14:paraId="28F48352" w14:textId="77777777" w:rsidR="00020E91" w:rsidRDefault="00020E91" w:rsidP="00CF24BC">
            <w:pPr>
              <w:spacing w:after="120"/>
              <w:jc w:val="both"/>
              <w:rPr>
                <w:sz w:val="20"/>
              </w:rPr>
            </w:pPr>
          </w:p>
          <w:p w14:paraId="2824A739" w14:textId="378CA075" w:rsidR="00047EF5" w:rsidRPr="003317E9" w:rsidRDefault="00047EF5" w:rsidP="00CF24BC">
            <w:pPr>
              <w:spacing w:after="120"/>
              <w:jc w:val="both"/>
              <w:rPr>
                <w:sz w:val="20"/>
              </w:rPr>
            </w:pPr>
            <w:r w:rsidRPr="003317E9">
              <w:rPr>
                <w:sz w:val="20"/>
              </w:rPr>
              <w:t>EIM</w:t>
            </w:r>
          </w:p>
        </w:tc>
        <w:tc>
          <w:tcPr>
            <w:tcW w:w="7230" w:type="dxa"/>
            <w:vMerge w:val="restart"/>
            <w:shd w:val="clear" w:color="auto" w:fill="FFFFFF" w:themeFill="background1"/>
          </w:tcPr>
          <w:p w14:paraId="212FFC37" w14:textId="77777777" w:rsidR="00047EF5" w:rsidRPr="003317E9" w:rsidRDefault="00047EF5" w:rsidP="00CF24BC">
            <w:pPr>
              <w:spacing w:after="120"/>
              <w:rPr>
                <w:b/>
                <w:sz w:val="20"/>
              </w:rPr>
            </w:pPr>
            <w:r w:rsidRPr="003317E9">
              <w:rPr>
                <w:b/>
                <w:bCs/>
                <w:sz w:val="20"/>
              </w:rPr>
              <w:t>Atitinka</w:t>
            </w:r>
            <w:r w:rsidRPr="003317E9">
              <w:rPr>
                <w:sz w:val="20"/>
              </w:rPr>
              <w:t xml:space="preserve"> net kelis NPP tikslus, iš kurių labiausiai:</w:t>
            </w:r>
          </w:p>
          <w:p w14:paraId="48EBA0E6" w14:textId="77777777" w:rsidR="00047EF5" w:rsidRPr="003317E9" w:rsidRDefault="00047EF5" w:rsidP="00CF24BC">
            <w:pPr>
              <w:spacing w:after="120"/>
              <w:rPr>
                <w:sz w:val="20"/>
              </w:rPr>
            </w:pPr>
            <w:r w:rsidRPr="003317E9">
              <w:rPr>
                <w:b/>
                <w:sz w:val="20"/>
              </w:rPr>
              <w:t>NPP 1 strateginis tikslas.</w:t>
            </w:r>
            <w:r w:rsidRPr="003317E9">
              <w:rPr>
                <w:sz w:val="20"/>
              </w:rPr>
              <w:t xml:space="preserve"> Pereiti prie mokslo žiniomis, pažangiosiomis technologijomis, inovacijomis grįsto darnaus ekonomikos vystymosi ir didinti šalies tarptautinį konkurencingumą.</w:t>
            </w:r>
          </w:p>
          <w:p w14:paraId="12886602" w14:textId="77777777" w:rsidR="00047EF5" w:rsidRPr="003317E9" w:rsidRDefault="00047EF5" w:rsidP="00CF24BC">
            <w:pPr>
              <w:spacing w:after="120"/>
              <w:rPr>
                <w:b/>
                <w:sz w:val="20"/>
              </w:rPr>
            </w:pPr>
            <w:r w:rsidRPr="003317E9">
              <w:rPr>
                <w:b/>
                <w:sz w:val="20"/>
              </w:rPr>
              <w:t>NPP 7 strateginis tikslas.</w:t>
            </w:r>
            <w:r w:rsidRPr="003317E9">
              <w:rPr>
                <w:sz w:val="20"/>
              </w:rPr>
              <w:t xml:space="preserve"> Tvariai ir subalansuotai vystyti Lietuvos teritoriją ir mažinti regioninę atskirtį</w:t>
            </w:r>
            <w:r w:rsidRPr="003317E9">
              <w:rPr>
                <w:b/>
                <w:sz w:val="20"/>
              </w:rPr>
              <w:t>.</w:t>
            </w:r>
          </w:p>
          <w:p w14:paraId="15BE1506" w14:textId="77777777" w:rsidR="00047EF5" w:rsidRPr="003317E9" w:rsidRDefault="00047EF5" w:rsidP="00CF24BC">
            <w:pPr>
              <w:spacing w:after="120"/>
              <w:rPr>
                <w:sz w:val="20"/>
              </w:rPr>
            </w:pPr>
            <w:r w:rsidRPr="003317E9">
              <w:rPr>
                <w:b/>
                <w:bCs/>
                <w:sz w:val="20"/>
              </w:rPr>
              <w:t>ET 3 rekomendacija (2020).</w:t>
            </w:r>
            <w:r w:rsidRPr="003317E9">
              <w:rPr>
                <w:sz w:val="20"/>
              </w:rPr>
              <w:t xml:space="preserve"> &lt;...&gt;. Siekiant paremti ekonomikos atsigavimą, </w:t>
            </w:r>
            <w:r w:rsidRPr="003317E9">
              <w:rPr>
                <w:b/>
                <w:bCs/>
                <w:sz w:val="20"/>
              </w:rPr>
              <w:t>paankstinti brandžių viešųjų investicinių projektų įgyvendinimą</w:t>
            </w:r>
            <w:r w:rsidRPr="003317E9">
              <w:rPr>
                <w:sz w:val="20"/>
              </w:rPr>
              <w:t xml:space="preserve"> ir skatinti privačiąsias investicijas. </w:t>
            </w:r>
            <w:r w:rsidRPr="003317E9">
              <w:rPr>
                <w:b/>
                <w:bCs/>
                <w:sz w:val="20"/>
              </w:rPr>
              <w:t>Investicijas sutelkti į žaliąją ir skaitmeninę pertvarką</w:t>
            </w:r>
            <w:r w:rsidRPr="003317E9">
              <w:rPr>
                <w:sz w:val="20"/>
              </w:rPr>
              <w:t xml:space="preserve">, visų pirma, į labai didelio pajėgumo plačiajuosčio ryšio aprėptį ir </w:t>
            </w:r>
            <w:proofErr w:type="spellStart"/>
            <w:r w:rsidRPr="003317E9">
              <w:rPr>
                <w:sz w:val="20"/>
              </w:rPr>
              <w:t>skverbtį</w:t>
            </w:r>
            <w:proofErr w:type="spellEnd"/>
            <w:r w:rsidRPr="003317E9">
              <w:rPr>
                <w:sz w:val="20"/>
              </w:rPr>
              <w:t>, švarią ir efektyvią energijos gamybą bei vartojimą ir darnųjį transportą.</w:t>
            </w:r>
          </w:p>
          <w:p w14:paraId="383946CB" w14:textId="77777777" w:rsidR="00047EF5" w:rsidRPr="003317E9" w:rsidRDefault="00047EF5" w:rsidP="00CF24BC">
            <w:pPr>
              <w:spacing w:after="120"/>
              <w:rPr>
                <w:b/>
                <w:sz w:val="20"/>
              </w:rPr>
            </w:pPr>
            <w:r w:rsidRPr="003317E9">
              <w:rPr>
                <w:b/>
                <w:bCs/>
                <w:sz w:val="20"/>
              </w:rPr>
              <w:t>ET 3 rekomendacija (</w:t>
            </w:r>
            <w:r w:rsidRPr="003317E9">
              <w:rPr>
                <w:b/>
                <w:bCs/>
                <w:sz w:val="20"/>
                <w:lang w:val="en-US"/>
              </w:rPr>
              <w:t>2019)</w:t>
            </w:r>
            <w:r w:rsidRPr="003317E9">
              <w:rPr>
                <w:b/>
                <w:bCs/>
                <w:sz w:val="20"/>
              </w:rPr>
              <w:t xml:space="preserve">. </w:t>
            </w:r>
            <w:r w:rsidRPr="003317E9">
              <w:rPr>
                <w:sz w:val="20"/>
              </w:rPr>
              <w:t>Vykdant su investicijomis susijusią ekonominę politiką sutelkti dėmesį į inovacijas, energijos ir išteklių naudojimo efektyvumą, darnų transportą ir energijos jungtis, atsižvelgiant į regioninius skirtumus</w:t>
            </w:r>
            <w:r w:rsidRPr="003317E9">
              <w:rPr>
                <w:b/>
                <w:bCs/>
                <w:sz w:val="20"/>
              </w:rPr>
              <w:t xml:space="preserve">. </w:t>
            </w:r>
            <w:r w:rsidRPr="003317E9">
              <w:rPr>
                <w:b/>
                <w:sz w:val="20"/>
              </w:rPr>
              <w:t>Skatinti našumo augimą didinant viešųjų investicijų efektyvumą.</w:t>
            </w:r>
          </w:p>
          <w:p w14:paraId="085DBBC2" w14:textId="77777777" w:rsidR="00047EF5" w:rsidRPr="003317E9" w:rsidRDefault="00047EF5" w:rsidP="00CF24BC">
            <w:pPr>
              <w:spacing w:after="120"/>
              <w:rPr>
                <w:b/>
                <w:bCs/>
                <w:iCs/>
                <w:sz w:val="20"/>
              </w:rPr>
            </w:pPr>
            <w:r w:rsidRPr="003317E9">
              <w:rPr>
                <w:b/>
                <w:sz w:val="20"/>
              </w:rPr>
              <w:t xml:space="preserve">Atitinka </w:t>
            </w:r>
            <w:r w:rsidRPr="003317E9">
              <w:rPr>
                <w:bCs/>
                <w:sz w:val="20"/>
              </w:rPr>
              <w:t>net kelias RRF taikymo sritis, iš kurių labiausiai:</w:t>
            </w:r>
            <w:r w:rsidRPr="003317E9">
              <w:rPr>
                <w:sz w:val="20"/>
                <w:lang w:eastAsia="lt-LT"/>
              </w:rPr>
              <w:t xml:space="preserve"> </w:t>
            </w:r>
            <w:r w:rsidRPr="003317E9">
              <w:rPr>
                <w:b/>
                <w:sz w:val="20"/>
              </w:rPr>
              <w:t>ekonominė, socialinė ir teritorinė sanglauda,</w:t>
            </w:r>
            <w:r w:rsidRPr="003317E9">
              <w:rPr>
                <w:b/>
                <w:bCs/>
                <w:iCs/>
                <w:sz w:val="20"/>
              </w:rPr>
              <w:t xml:space="preserve"> skaitmeninė pertvarka, konkurencingumas, darbo vietų kūrimas, pažangus, tvarus ir integracinis augimas.</w:t>
            </w:r>
          </w:p>
        </w:tc>
      </w:tr>
      <w:tr w:rsidR="00047EF5" w:rsidRPr="003317E9" w14:paraId="416E67A5" w14:textId="77777777" w:rsidTr="00CF24BC">
        <w:trPr>
          <w:trHeight w:val="360"/>
        </w:trPr>
        <w:tc>
          <w:tcPr>
            <w:tcW w:w="2689" w:type="dxa"/>
            <w:shd w:val="clear" w:color="auto" w:fill="FFFFFF" w:themeFill="background1"/>
          </w:tcPr>
          <w:p w14:paraId="73E161BA" w14:textId="77777777" w:rsidR="00047EF5" w:rsidRPr="003317E9" w:rsidRDefault="00047EF5" w:rsidP="00CF24BC">
            <w:pPr>
              <w:spacing w:after="120"/>
              <w:rPr>
                <w:rFonts w:eastAsia="Arial Unicode MS"/>
                <w:color w:val="000000"/>
                <w:sz w:val="20"/>
              </w:rPr>
            </w:pPr>
            <w:r w:rsidRPr="003317E9">
              <w:rPr>
                <w:sz w:val="20"/>
              </w:rPr>
              <w:t>10.3.5. Atviri duomenys – naujos galimybės verslui ir žmonėms. </w:t>
            </w:r>
          </w:p>
        </w:tc>
        <w:tc>
          <w:tcPr>
            <w:tcW w:w="4110" w:type="dxa"/>
            <w:shd w:val="clear" w:color="auto" w:fill="FFFFFF" w:themeFill="background1"/>
          </w:tcPr>
          <w:p w14:paraId="286F13A2" w14:textId="77777777" w:rsidR="00047EF5" w:rsidRPr="003317E9" w:rsidRDefault="00047EF5" w:rsidP="00CF24BC">
            <w:pPr>
              <w:spacing w:after="120"/>
              <w:rPr>
                <w:sz w:val="20"/>
              </w:rPr>
            </w:pPr>
            <w:r w:rsidRPr="003317E9">
              <w:rPr>
                <w:sz w:val="20"/>
              </w:rPr>
              <w:t>1. Įgyvendinti savivaldybių atvirų duomenų plėtrą, pagrįstą „vieno langelio“ principu.</w:t>
            </w:r>
          </w:p>
          <w:p w14:paraId="4850F974" w14:textId="77777777" w:rsidR="00047EF5" w:rsidRPr="003317E9" w:rsidRDefault="00047EF5" w:rsidP="00CF24BC">
            <w:pPr>
              <w:spacing w:after="120"/>
              <w:rPr>
                <w:sz w:val="20"/>
              </w:rPr>
            </w:pPr>
            <w:r w:rsidRPr="003317E9">
              <w:rPr>
                <w:sz w:val="20"/>
              </w:rPr>
              <w:t>2. Skaitmenizuoti savivaldybių nekilnojamojo turto apskaitos ir valdymo procesą.</w:t>
            </w:r>
          </w:p>
        </w:tc>
        <w:tc>
          <w:tcPr>
            <w:tcW w:w="1134" w:type="dxa"/>
            <w:shd w:val="clear" w:color="auto" w:fill="FFFFFF" w:themeFill="background1"/>
          </w:tcPr>
          <w:p w14:paraId="657EBB8B" w14:textId="77777777" w:rsidR="00047EF5" w:rsidRPr="003317E9" w:rsidRDefault="00047EF5" w:rsidP="00CF24BC">
            <w:pPr>
              <w:spacing w:after="120"/>
              <w:jc w:val="both"/>
              <w:rPr>
                <w:sz w:val="20"/>
              </w:rPr>
            </w:pPr>
            <w:r w:rsidRPr="003317E9">
              <w:rPr>
                <w:sz w:val="20"/>
              </w:rPr>
              <w:t>EIM</w:t>
            </w:r>
          </w:p>
          <w:p w14:paraId="49EDAC9F" w14:textId="77777777" w:rsidR="00047EF5" w:rsidRPr="003317E9" w:rsidRDefault="00047EF5" w:rsidP="00CF24BC">
            <w:pPr>
              <w:spacing w:after="120"/>
              <w:jc w:val="both"/>
              <w:rPr>
                <w:sz w:val="20"/>
              </w:rPr>
            </w:pPr>
          </w:p>
          <w:p w14:paraId="3E042388" w14:textId="77777777" w:rsidR="00047EF5" w:rsidRPr="003317E9" w:rsidRDefault="00047EF5" w:rsidP="00CF24BC">
            <w:pPr>
              <w:spacing w:after="120"/>
              <w:jc w:val="both"/>
              <w:rPr>
                <w:sz w:val="20"/>
              </w:rPr>
            </w:pPr>
            <w:r w:rsidRPr="003317E9">
              <w:rPr>
                <w:sz w:val="20"/>
              </w:rPr>
              <w:t>FM</w:t>
            </w:r>
          </w:p>
        </w:tc>
        <w:tc>
          <w:tcPr>
            <w:tcW w:w="7230" w:type="dxa"/>
            <w:vMerge/>
            <w:shd w:val="clear" w:color="auto" w:fill="FFFFFF" w:themeFill="background1"/>
          </w:tcPr>
          <w:p w14:paraId="3FD3F518" w14:textId="77777777" w:rsidR="00047EF5" w:rsidRPr="003317E9" w:rsidRDefault="00047EF5" w:rsidP="00CF24BC">
            <w:pPr>
              <w:spacing w:after="120"/>
              <w:rPr>
                <w:iCs/>
                <w:sz w:val="20"/>
              </w:rPr>
            </w:pPr>
          </w:p>
        </w:tc>
      </w:tr>
      <w:tr w:rsidR="00047EF5" w:rsidRPr="003317E9" w14:paraId="70286644" w14:textId="77777777" w:rsidTr="00CF24BC">
        <w:trPr>
          <w:trHeight w:val="360"/>
        </w:trPr>
        <w:tc>
          <w:tcPr>
            <w:tcW w:w="2689" w:type="dxa"/>
            <w:shd w:val="clear" w:color="auto" w:fill="FFFFFF" w:themeFill="background1"/>
          </w:tcPr>
          <w:p w14:paraId="438AFB2F" w14:textId="77777777" w:rsidR="00047EF5" w:rsidRPr="003317E9" w:rsidRDefault="00047EF5" w:rsidP="00CF24BC">
            <w:pPr>
              <w:spacing w:after="120"/>
              <w:rPr>
                <w:rFonts w:eastAsia="Arial Unicode MS"/>
                <w:color w:val="000000"/>
                <w:sz w:val="20"/>
              </w:rPr>
            </w:pPr>
            <w:r w:rsidRPr="003317E9">
              <w:rPr>
                <w:sz w:val="20"/>
              </w:rPr>
              <w:t>10.6.1. VVĮ ir SVĮ peržiūra.</w:t>
            </w:r>
          </w:p>
        </w:tc>
        <w:tc>
          <w:tcPr>
            <w:tcW w:w="4110" w:type="dxa"/>
            <w:shd w:val="clear" w:color="auto" w:fill="FFFFFF" w:themeFill="background1"/>
          </w:tcPr>
          <w:p w14:paraId="45D31689" w14:textId="77777777" w:rsidR="00047EF5" w:rsidRPr="003317E9" w:rsidRDefault="00047EF5" w:rsidP="00CF24BC">
            <w:pPr>
              <w:spacing w:after="120"/>
              <w:rPr>
                <w:sz w:val="20"/>
              </w:rPr>
            </w:pPr>
            <w:r w:rsidRPr="003317E9">
              <w:rPr>
                <w:sz w:val="20"/>
              </w:rPr>
              <w:t>Atliekant juridinių asmenų teisinių formų peržiūrą vadovautis savivaldybių savarankiškumo ir veiklos laisvės pagal Konstitucijos ir įstatymuose apibrėžtą kompetenciją principu.</w:t>
            </w:r>
          </w:p>
        </w:tc>
        <w:tc>
          <w:tcPr>
            <w:tcW w:w="1134" w:type="dxa"/>
            <w:shd w:val="clear" w:color="auto" w:fill="FFFFFF" w:themeFill="background1"/>
          </w:tcPr>
          <w:p w14:paraId="4E146527" w14:textId="77777777" w:rsidR="00047EF5" w:rsidRPr="003317E9" w:rsidRDefault="00047EF5" w:rsidP="00CF24BC">
            <w:pPr>
              <w:spacing w:after="120"/>
              <w:jc w:val="both"/>
              <w:rPr>
                <w:sz w:val="20"/>
              </w:rPr>
            </w:pPr>
            <w:r w:rsidRPr="003317E9">
              <w:rPr>
                <w:sz w:val="20"/>
              </w:rPr>
              <w:t>EIM</w:t>
            </w:r>
          </w:p>
        </w:tc>
        <w:tc>
          <w:tcPr>
            <w:tcW w:w="7230" w:type="dxa"/>
            <w:shd w:val="clear" w:color="auto" w:fill="FFFFFF" w:themeFill="background1"/>
          </w:tcPr>
          <w:p w14:paraId="7F796BC5" w14:textId="77777777" w:rsidR="00047EF5" w:rsidRPr="003317E9" w:rsidRDefault="00047EF5" w:rsidP="00CF24BC">
            <w:pPr>
              <w:spacing w:after="120"/>
              <w:rPr>
                <w:iCs/>
                <w:sz w:val="20"/>
              </w:rPr>
            </w:pPr>
          </w:p>
        </w:tc>
      </w:tr>
    </w:tbl>
    <w:p w14:paraId="58E828BA" w14:textId="77777777" w:rsidR="00047EF5" w:rsidRDefault="00047EF5" w:rsidP="00047EF5">
      <w:pPr>
        <w:spacing w:after="120"/>
        <w:rPr>
          <w:sz w:val="20"/>
        </w:rPr>
      </w:pPr>
    </w:p>
    <w:p w14:paraId="5D6F424F" w14:textId="77777777" w:rsidR="00047EF5" w:rsidRDefault="00047EF5" w:rsidP="00047EF5">
      <w:pPr>
        <w:spacing w:after="120"/>
        <w:rPr>
          <w:sz w:val="20"/>
        </w:rPr>
      </w:pPr>
    </w:p>
    <w:p w14:paraId="104FA945" w14:textId="77777777" w:rsidR="00047EF5" w:rsidRDefault="00047EF5" w:rsidP="00047EF5">
      <w:pPr>
        <w:spacing w:after="120"/>
        <w:rPr>
          <w:sz w:val="20"/>
        </w:rPr>
      </w:pPr>
    </w:p>
    <w:p w14:paraId="5B1D6400" w14:textId="77777777" w:rsidR="00047EF5" w:rsidRDefault="00047EF5" w:rsidP="00047EF5">
      <w:pPr>
        <w:spacing w:after="120"/>
        <w:rPr>
          <w:sz w:val="20"/>
        </w:rPr>
      </w:pPr>
    </w:p>
    <w:p w14:paraId="11924D16" w14:textId="2B52DF58" w:rsidR="00047EF5" w:rsidRDefault="00047EF5" w:rsidP="00047EF5">
      <w:pPr>
        <w:spacing w:after="120"/>
        <w:rPr>
          <w:sz w:val="20"/>
        </w:rPr>
      </w:pPr>
    </w:p>
    <w:p w14:paraId="254F04DE" w14:textId="77777777" w:rsidR="005C389B" w:rsidRDefault="005C389B" w:rsidP="00047EF5">
      <w:pPr>
        <w:spacing w:after="120"/>
        <w:rPr>
          <w:sz w:val="20"/>
        </w:rPr>
      </w:pPr>
    </w:p>
    <w:p w14:paraId="106027D6" w14:textId="77777777" w:rsidR="00044268" w:rsidRDefault="00044268" w:rsidP="00047EF5">
      <w:pPr>
        <w:spacing w:after="120"/>
        <w:rPr>
          <w:sz w:val="20"/>
        </w:rPr>
      </w:pPr>
    </w:p>
    <w:tbl>
      <w:tblPr>
        <w:tblStyle w:val="Lentelstinklelis"/>
        <w:tblW w:w="15163" w:type="dxa"/>
        <w:tblLayout w:type="fixed"/>
        <w:tblLook w:val="04A0" w:firstRow="1" w:lastRow="0" w:firstColumn="1" w:lastColumn="0" w:noHBand="0" w:noVBand="1"/>
      </w:tblPr>
      <w:tblGrid>
        <w:gridCol w:w="3256"/>
        <w:gridCol w:w="4961"/>
        <w:gridCol w:w="1134"/>
        <w:gridCol w:w="5812"/>
      </w:tblGrid>
      <w:tr w:rsidR="00047EF5" w:rsidRPr="000368E9" w14:paraId="637C0D18" w14:textId="77777777" w:rsidTr="00CF24BC">
        <w:trPr>
          <w:trHeight w:val="251"/>
        </w:trPr>
        <w:tc>
          <w:tcPr>
            <w:tcW w:w="15163" w:type="dxa"/>
            <w:gridSpan w:val="4"/>
            <w:shd w:val="clear" w:color="auto" w:fill="70AD47" w:themeFill="accent6"/>
          </w:tcPr>
          <w:p w14:paraId="1D5BBD5B" w14:textId="77777777" w:rsidR="00047EF5" w:rsidRPr="000368E9" w:rsidRDefault="00047EF5" w:rsidP="00CF24BC">
            <w:pPr>
              <w:jc w:val="center"/>
              <w:rPr>
                <w:b/>
                <w:bCs/>
                <w:iCs/>
                <w:szCs w:val="24"/>
              </w:rPr>
            </w:pPr>
            <w:r w:rsidRPr="000368E9">
              <w:rPr>
                <w:rFonts w:eastAsia="Arial Unicode MS"/>
                <w:b/>
                <w:bCs/>
                <w:color w:val="000000"/>
                <w:szCs w:val="24"/>
              </w:rPr>
              <w:lastRenderedPageBreak/>
              <w:t>SUSISIEKIMAS</w:t>
            </w:r>
          </w:p>
        </w:tc>
      </w:tr>
      <w:tr w:rsidR="00047EF5" w:rsidRPr="000368E9" w14:paraId="166728A9" w14:textId="77777777" w:rsidTr="00CF24BC">
        <w:trPr>
          <w:trHeight w:val="360"/>
        </w:trPr>
        <w:tc>
          <w:tcPr>
            <w:tcW w:w="3256" w:type="dxa"/>
            <w:shd w:val="clear" w:color="auto" w:fill="D9D9D9" w:themeFill="background1" w:themeFillShade="D9"/>
          </w:tcPr>
          <w:p w14:paraId="290F4509" w14:textId="77777777" w:rsidR="00047EF5" w:rsidRPr="000368E9" w:rsidRDefault="00047EF5" w:rsidP="00CF24BC">
            <w:pPr>
              <w:jc w:val="both"/>
              <w:rPr>
                <w:b/>
                <w:bCs/>
                <w:sz w:val="20"/>
              </w:rPr>
            </w:pPr>
            <w:r w:rsidRPr="000368E9">
              <w:rPr>
                <w:b/>
                <w:bCs/>
                <w:sz w:val="20"/>
              </w:rPr>
              <w:t>LRV programos prioritetas</w:t>
            </w:r>
          </w:p>
          <w:p w14:paraId="49D832A6" w14:textId="77777777" w:rsidR="00047EF5" w:rsidRPr="000368E9" w:rsidRDefault="00047EF5" w:rsidP="00CF24BC">
            <w:pPr>
              <w:spacing w:after="120"/>
              <w:rPr>
                <w:rFonts w:eastAsia="Arial Unicode MS"/>
                <w:color w:val="000000"/>
                <w:sz w:val="20"/>
              </w:rPr>
            </w:pPr>
          </w:p>
        </w:tc>
        <w:tc>
          <w:tcPr>
            <w:tcW w:w="4961" w:type="dxa"/>
            <w:shd w:val="clear" w:color="auto" w:fill="D9D9D9" w:themeFill="background1" w:themeFillShade="D9"/>
          </w:tcPr>
          <w:p w14:paraId="061BF5FB" w14:textId="77777777" w:rsidR="00047EF5" w:rsidRPr="000368E9" w:rsidRDefault="00047EF5" w:rsidP="00CF24BC">
            <w:pPr>
              <w:spacing w:after="120"/>
              <w:rPr>
                <w:sz w:val="20"/>
              </w:rPr>
            </w:pPr>
            <w:r w:rsidRPr="000368E9">
              <w:rPr>
                <w:b/>
                <w:bCs/>
                <w:sz w:val="20"/>
              </w:rPr>
              <w:t>LSA siūloma priemonė</w:t>
            </w:r>
          </w:p>
        </w:tc>
        <w:tc>
          <w:tcPr>
            <w:tcW w:w="1134" w:type="dxa"/>
            <w:shd w:val="clear" w:color="auto" w:fill="D9D9D9" w:themeFill="background1" w:themeFillShade="D9"/>
          </w:tcPr>
          <w:p w14:paraId="79B85255" w14:textId="77777777" w:rsidR="00047EF5" w:rsidRPr="000368E9" w:rsidRDefault="00047EF5" w:rsidP="00CF24BC">
            <w:pPr>
              <w:spacing w:after="120"/>
              <w:jc w:val="both"/>
              <w:rPr>
                <w:sz w:val="20"/>
              </w:rPr>
            </w:pPr>
            <w:r w:rsidRPr="000368E9">
              <w:rPr>
                <w:b/>
                <w:bCs/>
                <w:sz w:val="20"/>
              </w:rPr>
              <w:t>Atsakinga institucija</w:t>
            </w:r>
          </w:p>
        </w:tc>
        <w:tc>
          <w:tcPr>
            <w:tcW w:w="5812" w:type="dxa"/>
            <w:shd w:val="clear" w:color="auto" w:fill="D9D9D9" w:themeFill="background1" w:themeFillShade="D9"/>
          </w:tcPr>
          <w:p w14:paraId="2F3B70E7" w14:textId="77777777" w:rsidR="00047EF5" w:rsidRPr="000368E9" w:rsidRDefault="00047EF5" w:rsidP="00CF24BC">
            <w:pPr>
              <w:spacing w:after="120"/>
              <w:rPr>
                <w:iCs/>
                <w:sz w:val="20"/>
              </w:rPr>
            </w:pPr>
            <w:r w:rsidRPr="000368E9">
              <w:rPr>
                <w:b/>
                <w:bCs/>
                <w:sz w:val="20"/>
              </w:rPr>
              <w:t>Priemonės sąsaja su NPP tikslais, ET rekomendacijomis Lietuvai, RRF prioritetais</w:t>
            </w:r>
          </w:p>
        </w:tc>
      </w:tr>
      <w:tr w:rsidR="00047EF5" w:rsidRPr="000368E9" w14:paraId="1C02B583" w14:textId="77777777" w:rsidTr="00CF24BC">
        <w:trPr>
          <w:trHeight w:val="5192"/>
        </w:trPr>
        <w:tc>
          <w:tcPr>
            <w:tcW w:w="3256" w:type="dxa"/>
            <w:shd w:val="clear" w:color="auto" w:fill="FFFFFF" w:themeFill="background1"/>
          </w:tcPr>
          <w:p w14:paraId="0E8F8D9A" w14:textId="77777777" w:rsidR="00047EF5" w:rsidRPr="000368E9" w:rsidRDefault="00047EF5" w:rsidP="00CF24BC">
            <w:pPr>
              <w:spacing w:after="120"/>
              <w:rPr>
                <w:sz w:val="20"/>
              </w:rPr>
            </w:pPr>
            <w:r w:rsidRPr="000368E9">
              <w:rPr>
                <w:sz w:val="20"/>
              </w:rPr>
              <w:t>10.7. Projektas: ateities susisiekimo sistema.</w:t>
            </w:r>
          </w:p>
          <w:p w14:paraId="3437F4E2" w14:textId="77777777" w:rsidR="00047EF5" w:rsidRPr="000368E9" w:rsidRDefault="00047EF5" w:rsidP="00CF24BC">
            <w:pPr>
              <w:spacing w:after="120"/>
              <w:rPr>
                <w:sz w:val="20"/>
              </w:rPr>
            </w:pPr>
            <w:r w:rsidRPr="000368E9">
              <w:rPr>
                <w:sz w:val="20"/>
              </w:rPr>
              <w:t>10.7.2. Darnios transporto sistemos plėtra.</w:t>
            </w:r>
          </w:p>
          <w:p w14:paraId="61BA54D2" w14:textId="77777777" w:rsidR="00047EF5" w:rsidRPr="000368E9" w:rsidRDefault="00047EF5" w:rsidP="00CF24BC">
            <w:pPr>
              <w:spacing w:after="120"/>
              <w:rPr>
                <w:rFonts w:eastAsia="Arial Unicode MS"/>
                <w:color w:val="000000"/>
                <w:sz w:val="20"/>
              </w:rPr>
            </w:pPr>
            <w:r w:rsidRPr="000368E9">
              <w:rPr>
                <w:sz w:val="20"/>
              </w:rPr>
              <w:t>10.7.3. Užtikrinsime tolygią susisiekimo tinklo plėtrą.</w:t>
            </w:r>
          </w:p>
          <w:p w14:paraId="4454EA82" w14:textId="77777777" w:rsidR="00047EF5" w:rsidRPr="000368E9" w:rsidRDefault="00047EF5" w:rsidP="00CF24BC">
            <w:pPr>
              <w:spacing w:after="120"/>
              <w:rPr>
                <w:rFonts w:eastAsia="Arial Unicode MS"/>
                <w:color w:val="000000"/>
                <w:sz w:val="20"/>
              </w:rPr>
            </w:pPr>
            <w:r w:rsidRPr="000368E9">
              <w:rPr>
                <w:sz w:val="20"/>
              </w:rPr>
              <w:t>12.2. Projektas: tvarūs ir pasiekiami miestai.</w:t>
            </w:r>
          </w:p>
        </w:tc>
        <w:tc>
          <w:tcPr>
            <w:tcW w:w="4961" w:type="dxa"/>
            <w:shd w:val="clear" w:color="auto" w:fill="FFFFFF" w:themeFill="background1"/>
          </w:tcPr>
          <w:p w14:paraId="08B55E7D" w14:textId="77777777" w:rsidR="00047EF5" w:rsidRPr="000368E9" w:rsidRDefault="00047EF5" w:rsidP="00CF24BC">
            <w:pPr>
              <w:spacing w:after="120"/>
              <w:rPr>
                <w:sz w:val="20"/>
              </w:rPr>
            </w:pPr>
            <w:r w:rsidRPr="000368E9">
              <w:rPr>
                <w:sz w:val="20"/>
              </w:rPr>
              <w:t>1. Sukurti tvarias finansines priemones AEI viešajame transporte skatinimui ir viešojo transporto parko atnaujinimui.</w:t>
            </w:r>
          </w:p>
          <w:p w14:paraId="30F68C0C" w14:textId="77777777" w:rsidR="00047EF5" w:rsidRPr="000368E9" w:rsidRDefault="00047EF5" w:rsidP="00CF24BC">
            <w:pPr>
              <w:spacing w:after="120"/>
              <w:rPr>
                <w:sz w:val="20"/>
              </w:rPr>
            </w:pPr>
            <w:r w:rsidRPr="000368E9">
              <w:rPr>
                <w:sz w:val="20"/>
              </w:rPr>
              <w:t>2. Skatinti ir remti elektromobilių įkrovimo stotelių įrengimą ir plėtrą.</w:t>
            </w:r>
          </w:p>
          <w:p w14:paraId="7D676965" w14:textId="77777777" w:rsidR="00047EF5" w:rsidRPr="000368E9" w:rsidRDefault="00047EF5" w:rsidP="00CF24BC">
            <w:pPr>
              <w:spacing w:after="120"/>
              <w:rPr>
                <w:sz w:val="20"/>
              </w:rPr>
            </w:pPr>
            <w:r w:rsidRPr="000368E9">
              <w:rPr>
                <w:sz w:val="20"/>
              </w:rPr>
              <w:t>3. Atnaujinti ir plėsti dviračių ir pėsčiųjų takų infrastruktūrą, taikant žiedinės ekonomikos principus. Sukurti dviračių trasų apjungimo į vieningą integruojantį tinklą sistemą.</w:t>
            </w:r>
          </w:p>
          <w:p w14:paraId="03433B03" w14:textId="77777777" w:rsidR="00047EF5" w:rsidRPr="000368E9" w:rsidRDefault="00047EF5" w:rsidP="00CF24BC">
            <w:pPr>
              <w:spacing w:after="120"/>
              <w:rPr>
                <w:sz w:val="20"/>
              </w:rPr>
            </w:pPr>
            <w:r w:rsidRPr="000368E9">
              <w:rPr>
                <w:sz w:val="20"/>
              </w:rPr>
              <w:t xml:space="preserve">4. Sukurti ir diegti vieningas </w:t>
            </w:r>
            <w:proofErr w:type="spellStart"/>
            <w:r w:rsidRPr="000368E9">
              <w:rPr>
                <w:sz w:val="20"/>
              </w:rPr>
              <w:t>judumo</w:t>
            </w:r>
            <w:proofErr w:type="spellEnd"/>
            <w:r w:rsidRPr="000368E9">
              <w:rPr>
                <w:sz w:val="20"/>
              </w:rPr>
              <w:t xml:space="preserve"> paslaugų platformas.</w:t>
            </w:r>
          </w:p>
          <w:p w14:paraId="453B842F" w14:textId="77777777" w:rsidR="00047EF5" w:rsidRPr="000368E9" w:rsidRDefault="00047EF5" w:rsidP="00CF24BC">
            <w:pPr>
              <w:spacing w:after="120"/>
              <w:rPr>
                <w:sz w:val="20"/>
              </w:rPr>
            </w:pPr>
            <w:r w:rsidRPr="000368E9">
              <w:rPr>
                <w:sz w:val="20"/>
                <w:lang w:val="en-US"/>
              </w:rPr>
              <w:t xml:space="preserve">5. </w:t>
            </w:r>
            <w:r w:rsidRPr="000368E9">
              <w:rPr>
                <w:sz w:val="20"/>
              </w:rPr>
              <w:t xml:space="preserve">Sukurti tvarias finansines priemones darnaus </w:t>
            </w:r>
            <w:proofErr w:type="spellStart"/>
            <w:r w:rsidRPr="000368E9">
              <w:rPr>
                <w:sz w:val="20"/>
              </w:rPr>
              <w:t>judumo</w:t>
            </w:r>
            <w:proofErr w:type="spellEnd"/>
            <w:r w:rsidRPr="000368E9">
              <w:rPr>
                <w:sz w:val="20"/>
              </w:rPr>
              <w:t xml:space="preserve"> planų įgyvendinimui.</w:t>
            </w:r>
          </w:p>
          <w:p w14:paraId="174ACB5B" w14:textId="77777777" w:rsidR="00047EF5" w:rsidRPr="000368E9" w:rsidRDefault="00047EF5" w:rsidP="00CF24BC">
            <w:pPr>
              <w:spacing w:after="120"/>
              <w:rPr>
                <w:sz w:val="20"/>
              </w:rPr>
            </w:pPr>
            <w:r w:rsidRPr="000368E9">
              <w:rPr>
                <w:sz w:val="20"/>
                <w:lang w:val="en-US"/>
              </w:rPr>
              <w:t xml:space="preserve">6. </w:t>
            </w:r>
            <w:r w:rsidRPr="000368E9">
              <w:rPr>
                <w:sz w:val="20"/>
              </w:rPr>
              <w:t xml:space="preserve">Sukurti </w:t>
            </w:r>
            <w:proofErr w:type="spellStart"/>
            <w:r w:rsidRPr="000368E9">
              <w:rPr>
                <w:sz w:val="20"/>
              </w:rPr>
              <w:t>pandeminių</w:t>
            </w:r>
            <w:proofErr w:type="spellEnd"/>
            <w:r w:rsidRPr="000368E9">
              <w:rPr>
                <w:sz w:val="20"/>
              </w:rPr>
              <w:t xml:space="preserve"> viešojo transporto nuostolių kompensavimo sistemą. </w:t>
            </w:r>
          </w:p>
          <w:p w14:paraId="2B682918" w14:textId="77777777" w:rsidR="00047EF5" w:rsidRPr="000368E9" w:rsidRDefault="00047EF5" w:rsidP="00CF24BC">
            <w:pPr>
              <w:spacing w:after="120"/>
              <w:rPr>
                <w:sz w:val="20"/>
              </w:rPr>
            </w:pPr>
          </w:p>
        </w:tc>
        <w:tc>
          <w:tcPr>
            <w:tcW w:w="1134" w:type="dxa"/>
            <w:shd w:val="clear" w:color="auto" w:fill="FFFFFF" w:themeFill="background1"/>
          </w:tcPr>
          <w:p w14:paraId="55FD38B0" w14:textId="77777777" w:rsidR="00047EF5" w:rsidRPr="000368E9" w:rsidRDefault="00047EF5" w:rsidP="00CF24BC">
            <w:pPr>
              <w:spacing w:after="120"/>
              <w:jc w:val="both"/>
              <w:rPr>
                <w:sz w:val="20"/>
              </w:rPr>
            </w:pPr>
            <w:r w:rsidRPr="000368E9">
              <w:rPr>
                <w:sz w:val="20"/>
              </w:rPr>
              <w:t>SM</w:t>
            </w:r>
          </w:p>
          <w:p w14:paraId="6E748FE7" w14:textId="77777777" w:rsidR="00047EF5" w:rsidRPr="000368E9" w:rsidRDefault="00047EF5" w:rsidP="00CF24BC">
            <w:pPr>
              <w:spacing w:after="120"/>
              <w:jc w:val="both"/>
              <w:rPr>
                <w:sz w:val="20"/>
              </w:rPr>
            </w:pPr>
          </w:p>
          <w:p w14:paraId="08C17434" w14:textId="77777777" w:rsidR="00047EF5" w:rsidRPr="000368E9" w:rsidRDefault="00047EF5" w:rsidP="00CF24BC">
            <w:pPr>
              <w:spacing w:after="120"/>
              <w:jc w:val="both"/>
              <w:rPr>
                <w:sz w:val="20"/>
              </w:rPr>
            </w:pPr>
          </w:p>
          <w:p w14:paraId="009395EF" w14:textId="77777777" w:rsidR="00047EF5" w:rsidRPr="000368E9" w:rsidRDefault="00047EF5" w:rsidP="00CF24BC">
            <w:pPr>
              <w:spacing w:after="120"/>
              <w:jc w:val="both"/>
              <w:rPr>
                <w:sz w:val="20"/>
              </w:rPr>
            </w:pPr>
          </w:p>
          <w:p w14:paraId="38EB974A" w14:textId="77777777" w:rsidR="00047EF5" w:rsidRPr="000368E9" w:rsidRDefault="00047EF5" w:rsidP="00CF24BC">
            <w:pPr>
              <w:spacing w:after="120"/>
              <w:jc w:val="both"/>
              <w:rPr>
                <w:sz w:val="20"/>
              </w:rPr>
            </w:pPr>
          </w:p>
          <w:p w14:paraId="4117C4D4" w14:textId="77777777" w:rsidR="00047EF5" w:rsidRPr="000368E9" w:rsidRDefault="00047EF5" w:rsidP="00CF24BC">
            <w:pPr>
              <w:spacing w:after="120"/>
              <w:jc w:val="both"/>
              <w:rPr>
                <w:sz w:val="20"/>
              </w:rPr>
            </w:pPr>
          </w:p>
          <w:p w14:paraId="47E6E13E" w14:textId="77777777" w:rsidR="00047EF5" w:rsidRPr="000368E9" w:rsidRDefault="00047EF5" w:rsidP="00CF24BC">
            <w:pPr>
              <w:spacing w:after="120"/>
              <w:jc w:val="both"/>
              <w:rPr>
                <w:sz w:val="20"/>
              </w:rPr>
            </w:pPr>
          </w:p>
          <w:p w14:paraId="7F5BD465" w14:textId="77777777" w:rsidR="00047EF5" w:rsidRPr="000368E9" w:rsidRDefault="00047EF5" w:rsidP="00CF24BC">
            <w:pPr>
              <w:spacing w:after="120"/>
              <w:jc w:val="both"/>
              <w:rPr>
                <w:sz w:val="20"/>
              </w:rPr>
            </w:pPr>
          </w:p>
          <w:p w14:paraId="00F034D6" w14:textId="77777777" w:rsidR="00047EF5" w:rsidRPr="000368E9" w:rsidRDefault="00047EF5" w:rsidP="00CF24BC">
            <w:pPr>
              <w:spacing w:after="120"/>
              <w:jc w:val="both"/>
              <w:rPr>
                <w:sz w:val="20"/>
              </w:rPr>
            </w:pPr>
          </w:p>
          <w:p w14:paraId="1A2798E3" w14:textId="77777777" w:rsidR="00047EF5" w:rsidRPr="000368E9" w:rsidRDefault="00047EF5" w:rsidP="00CF24BC">
            <w:pPr>
              <w:spacing w:after="120"/>
              <w:jc w:val="both"/>
              <w:rPr>
                <w:sz w:val="20"/>
              </w:rPr>
            </w:pPr>
          </w:p>
          <w:p w14:paraId="7C20F735" w14:textId="77777777" w:rsidR="00047EF5" w:rsidRPr="000368E9" w:rsidRDefault="00047EF5" w:rsidP="00CF24BC">
            <w:pPr>
              <w:spacing w:after="120"/>
              <w:jc w:val="both"/>
              <w:rPr>
                <w:sz w:val="20"/>
              </w:rPr>
            </w:pPr>
            <w:r w:rsidRPr="000368E9">
              <w:rPr>
                <w:sz w:val="20"/>
              </w:rPr>
              <w:t>SM, FM</w:t>
            </w:r>
          </w:p>
        </w:tc>
        <w:tc>
          <w:tcPr>
            <w:tcW w:w="5812" w:type="dxa"/>
            <w:shd w:val="clear" w:color="auto" w:fill="FFFFFF" w:themeFill="background1"/>
          </w:tcPr>
          <w:p w14:paraId="17B8A12F" w14:textId="77777777" w:rsidR="00047EF5" w:rsidRPr="000368E9" w:rsidRDefault="00047EF5" w:rsidP="00CF24BC">
            <w:pPr>
              <w:spacing w:after="120"/>
              <w:rPr>
                <w:b/>
                <w:sz w:val="20"/>
              </w:rPr>
            </w:pPr>
            <w:r w:rsidRPr="000368E9">
              <w:rPr>
                <w:b/>
                <w:bCs/>
                <w:sz w:val="20"/>
              </w:rPr>
              <w:t>Atitinka</w:t>
            </w:r>
            <w:r w:rsidRPr="000368E9">
              <w:rPr>
                <w:sz w:val="20"/>
              </w:rPr>
              <w:t xml:space="preserve"> net kelis NPP tikslus, iš kurių labiausiai:</w:t>
            </w:r>
          </w:p>
          <w:p w14:paraId="210C39C1" w14:textId="77777777" w:rsidR="00047EF5" w:rsidRPr="000368E9" w:rsidRDefault="00047EF5" w:rsidP="00CF24BC">
            <w:pPr>
              <w:spacing w:after="120"/>
              <w:rPr>
                <w:b/>
                <w:sz w:val="20"/>
              </w:rPr>
            </w:pPr>
            <w:r w:rsidRPr="000368E9">
              <w:rPr>
                <w:b/>
                <w:sz w:val="20"/>
              </w:rPr>
              <w:t>NPP 5 strateginis tikslas</w:t>
            </w:r>
            <w:r w:rsidRPr="000368E9">
              <w:rPr>
                <w:sz w:val="20"/>
              </w:rPr>
              <w:t>. Gerinti transporto, energetinį ir skaitmeninį vidinį ir išorinį junglumą</w:t>
            </w:r>
            <w:r w:rsidRPr="000368E9">
              <w:rPr>
                <w:b/>
                <w:sz w:val="20"/>
              </w:rPr>
              <w:t>.</w:t>
            </w:r>
          </w:p>
          <w:p w14:paraId="6D1064FF" w14:textId="77777777" w:rsidR="00047EF5" w:rsidRPr="000368E9" w:rsidRDefault="00047EF5" w:rsidP="00CF24BC">
            <w:pPr>
              <w:spacing w:after="120"/>
              <w:rPr>
                <w:sz w:val="20"/>
              </w:rPr>
            </w:pPr>
            <w:r w:rsidRPr="000368E9">
              <w:rPr>
                <w:b/>
                <w:sz w:val="20"/>
              </w:rPr>
              <w:t>NPP 6 strateginis tikslas.</w:t>
            </w:r>
            <w:r w:rsidRPr="000368E9">
              <w:rPr>
                <w:sz w:val="20"/>
              </w:rPr>
              <w:t xml:space="preserve"> Užtikrinti gerą aplinkos kokybę ir gamtos išteklių naudojimo darną, saugoti biologinę įvairovę, švelninti Lietuvos poveikį klimato kaitai ir didinti atsparumą jos poveikiui.</w:t>
            </w:r>
          </w:p>
          <w:p w14:paraId="28FF7A35" w14:textId="77777777" w:rsidR="00047EF5" w:rsidRPr="000368E9" w:rsidRDefault="00047EF5" w:rsidP="00CF24BC">
            <w:pPr>
              <w:spacing w:after="120"/>
              <w:rPr>
                <w:sz w:val="20"/>
              </w:rPr>
            </w:pPr>
            <w:r w:rsidRPr="000368E9">
              <w:rPr>
                <w:b/>
                <w:sz w:val="20"/>
              </w:rPr>
              <w:t>NPP 7 strateginis tikslas.</w:t>
            </w:r>
            <w:r w:rsidRPr="000368E9">
              <w:rPr>
                <w:sz w:val="20"/>
              </w:rPr>
              <w:t xml:space="preserve"> Tvariai ir subalansuotai vystyti Lietuvos teritoriją ir mažinti regioninę atskirtį.</w:t>
            </w:r>
          </w:p>
          <w:p w14:paraId="6C00088F" w14:textId="77777777" w:rsidR="00047EF5" w:rsidRPr="000368E9" w:rsidRDefault="00047EF5" w:rsidP="00CF24BC">
            <w:pPr>
              <w:spacing w:after="120"/>
              <w:rPr>
                <w:sz w:val="20"/>
              </w:rPr>
            </w:pPr>
            <w:r w:rsidRPr="000368E9">
              <w:rPr>
                <w:b/>
                <w:bCs/>
                <w:sz w:val="20"/>
              </w:rPr>
              <w:t>ET 3 rekomendacija (2020).</w:t>
            </w:r>
            <w:r w:rsidRPr="000368E9">
              <w:rPr>
                <w:sz w:val="20"/>
              </w:rPr>
              <w:t xml:space="preserve"> &lt;...&gt;. Investicijas sutelkti į žaliąją ir skaitmeninę pertvarką, visų pirma, į labai didelio pajėgumo plačiajuosčio ryšio aprėptį ir </w:t>
            </w:r>
            <w:proofErr w:type="spellStart"/>
            <w:r w:rsidRPr="000368E9">
              <w:rPr>
                <w:sz w:val="20"/>
              </w:rPr>
              <w:t>skverbtį</w:t>
            </w:r>
            <w:proofErr w:type="spellEnd"/>
            <w:r w:rsidRPr="000368E9">
              <w:rPr>
                <w:sz w:val="20"/>
              </w:rPr>
              <w:t>, švarią ir efektyvią energijos gamybą bei vartojimą ir darnųjį transportą.</w:t>
            </w:r>
          </w:p>
          <w:p w14:paraId="585556D3" w14:textId="77777777" w:rsidR="00047EF5" w:rsidRPr="000368E9" w:rsidRDefault="00047EF5" w:rsidP="00CF24BC">
            <w:pPr>
              <w:spacing w:after="120"/>
              <w:rPr>
                <w:b/>
                <w:bCs/>
                <w:sz w:val="20"/>
              </w:rPr>
            </w:pPr>
            <w:r w:rsidRPr="000368E9">
              <w:rPr>
                <w:b/>
                <w:bCs/>
                <w:sz w:val="20"/>
              </w:rPr>
              <w:t xml:space="preserve">ET 3 rekomendacija (2019). </w:t>
            </w:r>
            <w:r w:rsidRPr="000368E9">
              <w:rPr>
                <w:sz w:val="20"/>
              </w:rPr>
              <w:t>Vykdant su investicijomis susijusią ekonominę politiką sutelkti dėmesį į inovacijas, energijos ir išteklių naudojimo efektyvumą, darnų transportą ir energijos jungtis, atsižvelgiant į regioninius skirtumus</w:t>
            </w:r>
            <w:r w:rsidRPr="000368E9">
              <w:rPr>
                <w:b/>
                <w:bCs/>
                <w:sz w:val="20"/>
              </w:rPr>
              <w:t>.</w:t>
            </w:r>
          </w:p>
          <w:p w14:paraId="5CF0C6AD" w14:textId="77777777" w:rsidR="00047EF5" w:rsidRPr="000368E9" w:rsidRDefault="00047EF5" w:rsidP="00CF24BC">
            <w:pPr>
              <w:spacing w:after="120"/>
              <w:rPr>
                <w:iCs/>
                <w:sz w:val="20"/>
              </w:rPr>
            </w:pPr>
            <w:r w:rsidRPr="000368E9">
              <w:rPr>
                <w:b/>
                <w:sz w:val="20"/>
              </w:rPr>
              <w:t xml:space="preserve">Atitinka </w:t>
            </w:r>
            <w:r w:rsidRPr="000368E9">
              <w:rPr>
                <w:bCs/>
                <w:sz w:val="20"/>
              </w:rPr>
              <w:t xml:space="preserve">net kelias RRF taikymo sritis, iš kurių labiausiai: </w:t>
            </w:r>
            <w:r w:rsidRPr="000368E9">
              <w:rPr>
                <w:b/>
                <w:bCs/>
                <w:iCs/>
                <w:sz w:val="20"/>
              </w:rPr>
              <w:t>žalioji ir skaitmeninė pertvarka.</w:t>
            </w:r>
          </w:p>
        </w:tc>
      </w:tr>
    </w:tbl>
    <w:p w14:paraId="2EFA3430" w14:textId="679879A7" w:rsidR="00047EF5" w:rsidRDefault="00047EF5" w:rsidP="00047EF5">
      <w:pPr>
        <w:spacing w:after="120"/>
        <w:rPr>
          <w:sz w:val="20"/>
        </w:rPr>
      </w:pPr>
    </w:p>
    <w:p w14:paraId="5F7FEC22" w14:textId="4992C6D7" w:rsidR="00CF24BC" w:rsidRDefault="00CF24BC" w:rsidP="00047EF5">
      <w:pPr>
        <w:spacing w:after="120"/>
        <w:rPr>
          <w:sz w:val="20"/>
        </w:rPr>
      </w:pPr>
    </w:p>
    <w:p w14:paraId="1EE314ED" w14:textId="08A69461" w:rsidR="00CF24BC" w:rsidRDefault="00CF24BC" w:rsidP="00047EF5">
      <w:pPr>
        <w:spacing w:after="120"/>
        <w:rPr>
          <w:sz w:val="20"/>
        </w:rPr>
      </w:pPr>
    </w:p>
    <w:p w14:paraId="7996FD44" w14:textId="307F041A" w:rsidR="00CF24BC" w:rsidRDefault="00CF24BC" w:rsidP="00047EF5">
      <w:pPr>
        <w:spacing w:after="120"/>
        <w:rPr>
          <w:sz w:val="20"/>
        </w:rPr>
      </w:pPr>
    </w:p>
    <w:p w14:paraId="13CD3097" w14:textId="41CDCDD9" w:rsidR="00CF24BC" w:rsidRDefault="00CF24BC" w:rsidP="00047EF5">
      <w:pPr>
        <w:spacing w:after="120"/>
        <w:rPr>
          <w:sz w:val="20"/>
        </w:rPr>
      </w:pPr>
    </w:p>
    <w:p w14:paraId="0F5ED221" w14:textId="43AFFCBA" w:rsidR="00CF24BC" w:rsidRDefault="00CF24BC" w:rsidP="00047EF5">
      <w:pPr>
        <w:spacing w:after="120"/>
        <w:rPr>
          <w:sz w:val="20"/>
        </w:rPr>
      </w:pPr>
    </w:p>
    <w:p w14:paraId="517F4303" w14:textId="53E4F22A" w:rsidR="00CF24BC" w:rsidRDefault="00CF24BC" w:rsidP="00047EF5">
      <w:pPr>
        <w:spacing w:after="120"/>
        <w:rPr>
          <w:sz w:val="20"/>
        </w:rPr>
      </w:pPr>
    </w:p>
    <w:p w14:paraId="112B22A8" w14:textId="77777777" w:rsidR="00044268" w:rsidRDefault="00044268" w:rsidP="00047EF5">
      <w:pPr>
        <w:spacing w:after="120"/>
        <w:rPr>
          <w:sz w:val="20"/>
        </w:rPr>
      </w:pPr>
    </w:p>
    <w:p w14:paraId="568A54D0" w14:textId="13E4982A" w:rsidR="00CF24BC" w:rsidRDefault="00CF24BC" w:rsidP="00047EF5">
      <w:pPr>
        <w:spacing w:after="120"/>
        <w:rPr>
          <w:sz w:val="20"/>
        </w:rPr>
      </w:pPr>
    </w:p>
    <w:p w14:paraId="43AE4C9D" w14:textId="77777777" w:rsidR="00CF24BC" w:rsidRDefault="00CF24BC" w:rsidP="00047EF5">
      <w:pPr>
        <w:spacing w:after="120"/>
        <w:rPr>
          <w:sz w:val="20"/>
        </w:rPr>
      </w:pPr>
    </w:p>
    <w:tbl>
      <w:tblPr>
        <w:tblStyle w:val="Lentelstinklelis"/>
        <w:tblW w:w="15163" w:type="dxa"/>
        <w:tblLayout w:type="fixed"/>
        <w:tblLook w:val="04A0" w:firstRow="1" w:lastRow="0" w:firstColumn="1" w:lastColumn="0" w:noHBand="0" w:noVBand="1"/>
      </w:tblPr>
      <w:tblGrid>
        <w:gridCol w:w="3256"/>
        <w:gridCol w:w="6520"/>
        <w:gridCol w:w="1134"/>
        <w:gridCol w:w="4253"/>
      </w:tblGrid>
      <w:tr w:rsidR="00047EF5" w:rsidRPr="000368E9" w14:paraId="50BBB544" w14:textId="77777777" w:rsidTr="00CF24BC">
        <w:trPr>
          <w:trHeight w:val="317"/>
        </w:trPr>
        <w:tc>
          <w:tcPr>
            <w:tcW w:w="15163" w:type="dxa"/>
            <w:gridSpan w:val="4"/>
            <w:shd w:val="clear" w:color="auto" w:fill="00B050"/>
          </w:tcPr>
          <w:p w14:paraId="4FB0E7DC" w14:textId="77777777" w:rsidR="00047EF5" w:rsidRPr="000368E9" w:rsidRDefault="00047EF5" w:rsidP="00CF24BC">
            <w:pPr>
              <w:jc w:val="center"/>
              <w:rPr>
                <w:b/>
                <w:bCs/>
                <w:iCs/>
                <w:szCs w:val="24"/>
              </w:rPr>
            </w:pPr>
            <w:r w:rsidRPr="000368E9">
              <w:rPr>
                <w:rFonts w:eastAsia="Arial Unicode MS"/>
                <w:b/>
                <w:bCs/>
                <w:color w:val="000000"/>
                <w:szCs w:val="24"/>
              </w:rPr>
              <w:lastRenderedPageBreak/>
              <w:t>ENERGETIKA</w:t>
            </w:r>
          </w:p>
        </w:tc>
      </w:tr>
      <w:tr w:rsidR="00047EF5" w:rsidRPr="000368E9" w14:paraId="78BAD7D7" w14:textId="77777777" w:rsidTr="00CF24BC">
        <w:trPr>
          <w:trHeight w:val="360"/>
        </w:trPr>
        <w:tc>
          <w:tcPr>
            <w:tcW w:w="3256" w:type="dxa"/>
            <w:shd w:val="clear" w:color="auto" w:fill="D9D9D9" w:themeFill="background1" w:themeFillShade="D9"/>
          </w:tcPr>
          <w:p w14:paraId="4C25E372" w14:textId="77777777" w:rsidR="00047EF5" w:rsidRPr="000368E9" w:rsidRDefault="00047EF5" w:rsidP="00CF24BC">
            <w:pPr>
              <w:jc w:val="both"/>
              <w:rPr>
                <w:b/>
                <w:bCs/>
                <w:sz w:val="20"/>
              </w:rPr>
            </w:pPr>
            <w:r w:rsidRPr="000368E9">
              <w:rPr>
                <w:b/>
                <w:bCs/>
                <w:sz w:val="20"/>
              </w:rPr>
              <w:t>LRV programos prioritetas</w:t>
            </w:r>
          </w:p>
          <w:p w14:paraId="64935BE9" w14:textId="77777777" w:rsidR="00047EF5" w:rsidRPr="000368E9" w:rsidRDefault="00047EF5" w:rsidP="00CF24BC">
            <w:pPr>
              <w:spacing w:after="120"/>
              <w:rPr>
                <w:rFonts w:eastAsia="Arial Unicode MS"/>
                <w:color w:val="000000"/>
                <w:sz w:val="20"/>
              </w:rPr>
            </w:pPr>
          </w:p>
        </w:tc>
        <w:tc>
          <w:tcPr>
            <w:tcW w:w="6520" w:type="dxa"/>
            <w:shd w:val="clear" w:color="auto" w:fill="D9D9D9" w:themeFill="background1" w:themeFillShade="D9"/>
          </w:tcPr>
          <w:p w14:paraId="0439EF23" w14:textId="77777777" w:rsidR="00047EF5" w:rsidRPr="000368E9" w:rsidRDefault="00047EF5" w:rsidP="00CF24BC">
            <w:pPr>
              <w:spacing w:after="120"/>
              <w:rPr>
                <w:sz w:val="20"/>
              </w:rPr>
            </w:pPr>
            <w:r w:rsidRPr="000368E9">
              <w:rPr>
                <w:b/>
                <w:bCs/>
                <w:sz w:val="20"/>
              </w:rPr>
              <w:t>LSA siūloma priemonė</w:t>
            </w:r>
          </w:p>
        </w:tc>
        <w:tc>
          <w:tcPr>
            <w:tcW w:w="1134" w:type="dxa"/>
            <w:shd w:val="clear" w:color="auto" w:fill="D9D9D9" w:themeFill="background1" w:themeFillShade="D9"/>
          </w:tcPr>
          <w:p w14:paraId="3D97BDFF" w14:textId="77777777" w:rsidR="00047EF5" w:rsidRPr="000368E9" w:rsidRDefault="00047EF5" w:rsidP="00CF24BC">
            <w:pPr>
              <w:spacing w:after="120"/>
              <w:jc w:val="both"/>
              <w:rPr>
                <w:sz w:val="20"/>
              </w:rPr>
            </w:pPr>
            <w:r w:rsidRPr="000368E9">
              <w:rPr>
                <w:b/>
                <w:bCs/>
                <w:sz w:val="20"/>
              </w:rPr>
              <w:t>Atsakinga institucija</w:t>
            </w:r>
          </w:p>
        </w:tc>
        <w:tc>
          <w:tcPr>
            <w:tcW w:w="4253" w:type="dxa"/>
            <w:shd w:val="clear" w:color="auto" w:fill="D9D9D9" w:themeFill="background1" w:themeFillShade="D9"/>
          </w:tcPr>
          <w:p w14:paraId="0160C6E4" w14:textId="77777777" w:rsidR="00047EF5" w:rsidRPr="000368E9" w:rsidRDefault="00047EF5" w:rsidP="00CF24BC">
            <w:pPr>
              <w:spacing w:after="120"/>
              <w:rPr>
                <w:iCs/>
                <w:sz w:val="20"/>
              </w:rPr>
            </w:pPr>
            <w:r w:rsidRPr="000368E9">
              <w:rPr>
                <w:b/>
                <w:bCs/>
                <w:sz w:val="20"/>
              </w:rPr>
              <w:t>Priemonės sąsaja su NPP tikslais, ET rekomendacijomis Lietuvai, RRF prioritetais</w:t>
            </w:r>
          </w:p>
        </w:tc>
      </w:tr>
      <w:tr w:rsidR="00047EF5" w:rsidRPr="000368E9" w14:paraId="5F4589D3" w14:textId="77777777" w:rsidTr="00CF24BC">
        <w:trPr>
          <w:trHeight w:val="360"/>
        </w:trPr>
        <w:tc>
          <w:tcPr>
            <w:tcW w:w="3256" w:type="dxa"/>
            <w:shd w:val="clear" w:color="auto" w:fill="FFFFFF" w:themeFill="background1"/>
          </w:tcPr>
          <w:p w14:paraId="32F74A18" w14:textId="77777777" w:rsidR="00047EF5" w:rsidRPr="000368E9" w:rsidRDefault="00047EF5" w:rsidP="00CF24BC">
            <w:pPr>
              <w:spacing w:after="120"/>
              <w:rPr>
                <w:sz w:val="20"/>
              </w:rPr>
            </w:pPr>
            <w:r w:rsidRPr="000368E9">
              <w:rPr>
                <w:iCs/>
                <w:sz w:val="20"/>
              </w:rPr>
              <w:t xml:space="preserve">10.8. </w:t>
            </w:r>
            <w:r w:rsidRPr="000368E9">
              <w:rPr>
                <w:sz w:val="20"/>
              </w:rPr>
              <w:t>Projektas: stipresnė energetikos infrastruktūra</w:t>
            </w:r>
          </w:p>
          <w:p w14:paraId="53E24AD1" w14:textId="77777777" w:rsidR="00047EF5" w:rsidRPr="000368E9" w:rsidRDefault="00047EF5" w:rsidP="00CF24BC">
            <w:pPr>
              <w:spacing w:after="120"/>
              <w:rPr>
                <w:sz w:val="20"/>
              </w:rPr>
            </w:pPr>
            <w:r w:rsidRPr="000368E9">
              <w:rPr>
                <w:sz w:val="20"/>
              </w:rPr>
              <w:t xml:space="preserve">10.8.1. Platesnė vietinės elektros energijos generacija. </w:t>
            </w:r>
          </w:p>
          <w:p w14:paraId="2B5D146F" w14:textId="77777777" w:rsidR="00047EF5" w:rsidRPr="000368E9" w:rsidRDefault="00047EF5" w:rsidP="00CF24BC">
            <w:pPr>
              <w:spacing w:after="120"/>
              <w:rPr>
                <w:sz w:val="20"/>
              </w:rPr>
            </w:pPr>
            <w:r w:rsidRPr="000368E9">
              <w:rPr>
                <w:sz w:val="20"/>
              </w:rPr>
              <w:t xml:space="preserve">10.8.2. Šiuolaikiniai balansavimo </w:t>
            </w:r>
            <w:proofErr w:type="spellStart"/>
            <w:r w:rsidRPr="000368E9">
              <w:rPr>
                <w:sz w:val="20"/>
              </w:rPr>
              <w:t>pajėgumai</w:t>
            </w:r>
            <w:proofErr w:type="spellEnd"/>
            <w:r w:rsidRPr="000368E9">
              <w:rPr>
                <w:sz w:val="20"/>
              </w:rPr>
              <w:t xml:space="preserve">. </w:t>
            </w:r>
          </w:p>
          <w:p w14:paraId="2CE5BE5E" w14:textId="77777777" w:rsidR="00047EF5" w:rsidRPr="000368E9" w:rsidRDefault="00047EF5" w:rsidP="00CF24BC">
            <w:pPr>
              <w:spacing w:after="120"/>
              <w:rPr>
                <w:rFonts w:eastAsia="Arial Unicode MS"/>
                <w:color w:val="000000"/>
                <w:sz w:val="20"/>
              </w:rPr>
            </w:pPr>
          </w:p>
        </w:tc>
        <w:tc>
          <w:tcPr>
            <w:tcW w:w="6520" w:type="dxa"/>
            <w:shd w:val="clear" w:color="auto" w:fill="FFFFFF" w:themeFill="background1"/>
          </w:tcPr>
          <w:p w14:paraId="04C4E00A" w14:textId="77777777" w:rsidR="00047EF5" w:rsidRPr="000368E9" w:rsidRDefault="00047EF5" w:rsidP="00CF24BC">
            <w:pPr>
              <w:spacing w:after="120"/>
              <w:rPr>
                <w:sz w:val="20"/>
              </w:rPr>
            </w:pPr>
            <w:r w:rsidRPr="000368E9">
              <w:rPr>
                <w:sz w:val="20"/>
              </w:rPr>
              <w:t xml:space="preserve">1. Parengti integruotą </w:t>
            </w:r>
            <w:proofErr w:type="spellStart"/>
            <w:r w:rsidRPr="000368E9">
              <w:rPr>
                <w:sz w:val="20"/>
              </w:rPr>
              <w:t>kogeneracinių</w:t>
            </w:r>
            <w:proofErr w:type="spellEnd"/>
            <w:r w:rsidRPr="000368E9">
              <w:rPr>
                <w:sz w:val="20"/>
              </w:rPr>
              <w:t xml:space="preserve"> elektrinių ir centralizuoto šilumos (vėsumos) tiekimo kompleksų vystymo programą, numatant jų funkcijas elektros sistemos balansavimo ir rezervavimo srityje, o liekamąją energiją panaudojant miestų šildymo ir vėsinimo poreikiams. Sukurti saugias ir motyvuojančias reguliacines prielaidas investicijoms į energetikos sektorių integraciją.</w:t>
            </w:r>
          </w:p>
          <w:p w14:paraId="0FD3827A" w14:textId="77777777" w:rsidR="00047EF5" w:rsidRPr="000368E9" w:rsidRDefault="00047EF5" w:rsidP="00CF24BC">
            <w:pPr>
              <w:spacing w:after="120"/>
              <w:rPr>
                <w:sz w:val="20"/>
              </w:rPr>
            </w:pPr>
            <w:r w:rsidRPr="000368E9">
              <w:rPr>
                <w:sz w:val="20"/>
              </w:rPr>
              <w:t>2. Sukurti finansines paskatas vartotojams įsirengti tik elektros gamybos įrenginius, o šilumos ir karšto vandens alternatyvius gamybos šaltinius, naudojančius AEI, skatinti ir remti tik daugiabučiuose, kurie neprijungti prie centralizuoto šilumos tiekimo (CŠT) sistemų arba jų prijungimas techniškai neįmanomas ir neproporcingai brangus.</w:t>
            </w:r>
          </w:p>
        </w:tc>
        <w:tc>
          <w:tcPr>
            <w:tcW w:w="1134" w:type="dxa"/>
            <w:shd w:val="clear" w:color="auto" w:fill="FFFFFF" w:themeFill="background1"/>
          </w:tcPr>
          <w:p w14:paraId="4041478E" w14:textId="77777777" w:rsidR="00047EF5" w:rsidRPr="000368E9" w:rsidRDefault="00047EF5" w:rsidP="00CF24BC">
            <w:pPr>
              <w:spacing w:after="120"/>
              <w:jc w:val="both"/>
              <w:rPr>
                <w:sz w:val="20"/>
              </w:rPr>
            </w:pPr>
            <w:r w:rsidRPr="000368E9">
              <w:rPr>
                <w:sz w:val="20"/>
              </w:rPr>
              <w:t>EM,</w:t>
            </w:r>
          </w:p>
          <w:p w14:paraId="2362E622" w14:textId="77777777" w:rsidR="00047EF5" w:rsidRPr="000368E9" w:rsidRDefault="00047EF5" w:rsidP="00CF24BC">
            <w:pPr>
              <w:spacing w:after="120"/>
              <w:jc w:val="both"/>
              <w:rPr>
                <w:sz w:val="20"/>
              </w:rPr>
            </w:pPr>
          </w:p>
          <w:p w14:paraId="24236E23" w14:textId="77777777" w:rsidR="00047EF5" w:rsidRPr="000368E9" w:rsidRDefault="00047EF5" w:rsidP="00CF24BC">
            <w:pPr>
              <w:spacing w:after="120"/>
              <w:jc w:val="both"/>
              <w:rPr>
                <w:sz w:val="20"/>
              </w:rPr>
            </w:pPr>
          </w:p>
          <w:p w14:paraId="7E44E8A3" w14:textId="77777777" w:rsidR="00047EF5" w:rsidRPr="000368E9" w:rsidRDefault="00047EF5" w:rsidP="00CF24BC">
            <w:pPr>
              <w:spacing w:after="120"/>
              <w:jc w:val="both"/>
              <w:rPr>
                <w:sz w:val="20"/>
              </w:rPr>
            </w:pPr>
          </w:p>
          <w:p w14:paraId="349DB0B3" w14:textId="77777777" w:rsidR="00047EF5" w:rsidRPr="000368E9" w:rsidRDefault="00047EF5" w:rsidP="00CF24BC">
            <w:pPr>
              <w:spacing w:after="120"/>
              <w:jc w:val="both"/>
              <w:rPr>
                <w:sz w:val="20"/>
              </w:rPr>
            </w:pPr>
          </w:p>
          <w:p w14:paraId="209083B1" w14:textId="77777777" w:rsidR="00047EF5" w:rsidRPr="000368E9" w:rsidRDefault="00047EF5" w:rsidP="00CF24BC">
            <w:pPr>
              <w:spacing w:after="120"/>
              <w:jc w:val="both"/>
              <w:rPr>
                <w:sz w:val="20"/>
              </w:rPr>
            </w:pPr>
            <w:r w:rsidRPr="000368E9">
              <w:rPr>
                <w:sz w:val="20"/>
              </w:rPr>
              <w:t>AM</w:t>
            </w:r>
          </w:p>
          <w:p w14:paraId="6318EDC6" w14:textId="77777777" w:rsidR="00047EF5" w:rsidRPr="000368E9" w:rsidRDefault="00047EF5" w:rsidP="00CF24BC">
            <w:pPr>
              <w:spacing w:after="120"/>
              <w:jc w:val="both"/>
              <w:rPr>
                <w:sz w:val="20"/>
              </w:rPr>
            </w:pPr>
          </w:p>
          <w:p w14:paraId="4E66A1EA" w14:textId="77777777" w:rsidR="00047EF5" w:rsidRPr="000368E9" w:rsidRDefault="00047EF5" w:rsidP="00CF24BC">
            <w:pPr>
              <w:spacing w:after="120"/>
              <w:jc w:val="both"/>
              <w:rPr>
                <w:sz w:val="20"/>
              </w:rPr>
            </w:pPr>
          </w:p>
        </w:tc>
        <w:tc>
          <w:tcPr>
            <w:tcW w:w="4253" w:type="dxa"/>
            <w:vMerge w:val="restart"/>
            <w:shd w:val="clear" w:color="auto" w:fill="FFFFFF" w:themeFill="background1"/>
          </w:tcPr>
          <w:p w14:paraId="525E77CE" w14:textId="77777777" w:rsidR="00047EF5" w:rsidRPr="000368E9" w:rsidRDefault="00047EF5" w:rsidP="00CF24BC">
            <w:pPr>
              <w:spacing w:after="120"/>
              <w:rPr>
                <w:b/>
                <w:sz w:val="20"/>
              </w:rPr>
            </w:pPr>
            <w:r w:rsidRPr="000368E9">
              <w:rPr>
                <w:b/>
                <w:bCs/>
                <w:sz w:val="20"/>
              </w:rPr>
              <w:t>Atitinka</w:t>
            </w:r>
            <w:r w:rsidRPr="000368E9">
              <w:rPr>
                <w:sz w:val="20"/>
              </w:rPr>
              <w:t xml:space="preserve"> net kelis NPP tikslus, iš kurių labiausiai:</w:t>
            </w:r>
          </w:p>
          <w:p w14:paraId="0D2705F6" w14:textId="77777777" w:rsidR="00047EF5" w:rsidRPr="000368E9" w:rsidRDefault="00047EF5" w:rsidP="00CF24BC">
            <w:pPr>
              <w:spacing w:after="120"/>
              <w:rPr>
                <w:sz w:val="20"/>
              </w:rPr>
            </w:pPr>
            <w:r w:rsidRPr="000368E9">
              <w:rPr>
                <w:b/>
                <w:sz w:val="20"/>
              </w:rPr>
              <w:t>NPP 6 strateginis tikslas.</w:t>
            </w:r>
            <w:r w:rsidRPr="000368E9">
              <w:rPr>
                <w:sz w:val="20"/>
              </w:rPr>
              <w:t xml:space="preserve"> Užtikrinti gerą aplinkos kokybę ir gamtos išteklių naudojimo darną, saugoti biologinę įvairovę, švelninti Lietuvos poveikį klimato kaitai ir didinti atsparumą jos poveikiui.</w:t>
            </w:r>
          </w:p>
          <w:p w14:paraId="2D1C65F7" w14:textId="77777777" w:rsidR="00047EF5" w:rsidRPr="000368E9" w:rsidRDefault="00047EF5" w:rsidP="00CF24BC">
            <w:pPr>
              <w:spacing w:after="120"/>
              <w:rPr>
                <w:sz w:val="20"/>
              </w:rPr>
            </w:pPr>
            <w:r w:rsidRPr="000368E9">
              <w:rPr>
                <w:b/>
                <w:sz w:val="20"/>
              </w:rPr>
              <w:t>NPP 7 strateginis tikslas.</w:t>
            </w:r>
            <w:r w:rsidRPr="000368E9">
              <w:rPr>
                <w:sz w:val="20"/>
              </w:rPr>
              <w:t xml:space="preserve"> Tvariai ir subalansuotai vystyti Lietuvos teritoriją ir mažinti regioninę atskirtį.</w:t>
            </w:r>
          </w:p>
          <w:p w14:paraId="35808607" w14:textId="77777777" w:rsidR="00047EF5" w:rsidRPr="000368E9" w:rsidRDefault="00047EF5" w:rsidP="00CF24BC">
            <w:pPr>
              <w:spacing w:after="120"/>
              <w:rPr>
                <w:sz w:val="20"/>
              </w:rPr>
            </w:pPr>
            <w:r w:rsidRPr="000368E9">
              <w:rPr>
                <w:b/>
                <w:bCs/>
                <w:sz w:val="20"/>
              </w:rPr>
              <w:t>ET 3 rekomendacija (2020).</w:t>
            </w:r>
            <w:r w:rsidRPr="000368E9">
              <w:rPr>
                <w:sz w:val="20"/>
              </w:rPr>
              <w:t xml:space="preserve"> &lt;...&gt;. Investicijas sutelkti į žaliąją ir skaitmeninę pertvarką, visų pirma, į labai didelio pajėgumo plačiajuosčio ryšio aprėptį ir </w:t>
            </w:r>
            <w:proofErr w:type="spellStart"/>
            <w:r w:rsidRPr="000368E9">
              <w:rPr>
                <w:sz w:val="20"/>
              </w:rPr>
              <w:t>skverbtį</w:t>
            </w:r>
            <w:proofErr w:type="spellEnd"/>
            <w:r w:rsidRPr="000368E9">
              <w:rPr>
                <w:sz w:val="20"/>
              </w:rPr>
              <w:t>, švarią ir efektyvią energijos gamybą bei vartojimą ir darnųjį transportą.</w:t>
            </w:r>
          </w:p>
          <w:p w14:paraId="1EA29775" w14:textId="77777777" w:rsidR="00047EF5" w:rsidRPr="000368E9" w:rsidRDefault="00047EF5" w:rsidP="00CF24BC">
            <w:pPr>
              <w:spacing w:after="120"/>
              <w:rPr>
                <w:b/>
                <w:bCs/>
                <w:sz w:val="20"/>
              </w:rPr>
            </w:pPr>
            <w:r w:rsidRPr="000368E9">
              <w:rPr>
                <w:b/>
                <w:bCs/>
                <w:sz w:val="20"/>
              </w:rPr>
              <w:t>ET 3 rekomendacija (</w:t>
            </w:r>
            <w:r w:rsidRPr="000368E9">
              <w:rPr>
                <w:b/>
                <w:bCs/>
                <w:sz w:val="20"/>
                <w:lang w:val="en-US"/>
              </w:rPr>
              <w:t>2019)</w:t>
            </w:r>
            <w:r w:rsidRPr="000368E9">
              <w:rPr>
                <w:b/>
                <w:bCs/>
                <w:sz w:val="20"/>
              </w:rPr>
              <w:t xml:space="preserve">. </w:t>
            </w:r>
            <w:r w:rsidRPr="000368E9">
              <w:rPr>
                <w:sz w:val="20"/>
              </w:rPr>
              <w:t>Vykdant su investicijomis susijusią ekonominę politiką sutelkti dėmesį į inovacijas, energijos ir išteklių naudojimo efektyvumą, darnų transportą ir energijos jungtis, atsižvelgiant į regioninius skirtumus</w:t>
            </w:r>
            <w:r w:rsidRPr="000368E9">
              <w:rPr>
                <w:b/>
                <w:bCs/>
                <w:sz w:val="20"/>
              </w:rPr>
              <w:t>.</w:t>
            </w:r>
          </w:p>
          <w:p w14:paraId="5E991FF8" w14:textId="77777777" w:rsidR="00047EF5" w:rsidRPr="000368E9" w:rsidRDefault="00047EF5" w:rsidP="00CF24BC">
            <w:pPr>
              <w:spacing w:after="120"/>
              <w:rPr>
                <w:b/>
                <w:bCs/>
                <w:iCs/>
                <w:sz w:val="20"/>
              </w:rPr>
            </w:pPr>
            <w:r w:rsidRPr="000368E9">
              <w:rPr>
                <w:b/>
                <w:sz w:val="20"/>
              </w:rPr>
              <w:t xml:space="preserve">Atitinka </w:t>
            </w:r>
            <w:r w:rsidRPr="000368E9">
              <w:rPr>
                <w:bCs/>
                <w:sz w:val="20"/>
              </w:rPr>
              <w:t xml:space="preserve">net kelias RRF taikymo sritis, iš kurių labiausiai: </w:t>
            </w:r>
            <w:r w:rsidRPr="000368E9">
              <w:rPr>
                <w:b/>
                <w:bCs/>
                <w:iCs/>
                <w:sz w:val="20"/>
              </w:rPr>
              <w:t>žalioji ir skaitmeninė pertvarka, ekonominė, socialinė ir teritorinė sanglauda.</w:t>
            </w:r>
          </w:p>
          <w:p w14:paraId="336C5D56" w14:textId="77777777" w:rsidR="00047EF5" w:rsidRPr="000368E9" w:rsidRDefault="00047EF5" w:rsidP="00CF24BC">
            <w:pPr>
              <w:spacing w:after="120"/>
              <w:rPr>
                <w:b/>
                <w:bCs/>
                <w:iCs/>
                <w:sz w:val="20"/>
              </w:rPr>
            </w:pPr>
          </w:p>
        </w:tc>
      </w:tr>
      <w:tr w:rsidR="00047EF5" w:rsidRPr="000368E9" w14:paraId="42118BF3" w14:textId="77777777" w:rsidTr="00CF24BC">
        <w:trPr>
          <w:trHeight w:val="360"/>
        </w:trPr>
        <w:tc>
          <w:tcPr>
            <w:tcW w:w="3256" w:type="dxa"/>
            <w:shd w:val="clear" w:color="auto" w:fill="FFFFFF" w:themeFill="background1"/>
          </w:tcPr>
          <w:p w14:paraId="09C55ED7" w14:textId="77777777" w:rsidR="00047EF5" w:rsidRPr="000368E9" w:rsidRDefault="00047EF5" w:rsidP="00CF24BC">
            <w:pPr>
              <w:spacing w:after="120"/>
              <w:rPr>
                <w:rFonts w:eastAsia="Arial Unicode MS"/>
                <w:color w:val="000000"/>
                <w:sz w:val="20"/>
              </w:rPr>
            </w:pPr>
            <w:r w:rsidRPr="000368E9">
              <w:rPr>
                <w:bCs/>
                <w:sz w:val="20"/>
              </w:rPr>
              <w:t>12.2.2. Miestuose kvėpuosime švariu oru.</w:t>
            </w:r>
            <w:r w:rsidRPr="000368E9">
              <w:rPr>
                <w:sz w:val="20"/>
              </w:rPr>
              <w:t xml:space="preserve"> </w:t>
            </w:r>
            <w:r w:rsidRPr="000368E9">
              <w:rPr>
                <w:bCs/>
                <w:sz w:val="20"/>
              </w:rPr>
              <w:t>Iki 2030 m. Lietuvos miestuose ir miesteliuose perpus sumažinsime kvėpavimo takams kenksmingą oro taršą.</w:t>
            </w:r>
          </w:p>
        </w:tc>
        <w:tc>
          <w:tcPr>
            <w:tcW w:w="6520" w:type="dxa"/>
            <w:shd w:val="clear" w:color="auto" w:fill="FFFFFF" w:themeFill="background1"/>
          </w:tcPr>
          <w:p w14:paraId="73D402E4" w14:textId="77777777" w:rsidR="00047EF5" w:rsidRPr="000368E9" w:rsidRDefault="00047EF5" w:rsidP="00CF24BC">
            <w:pPr>
              <w:spacing w:after="120"/>
              <w:rPr>
                <w:bCs/>
                <w:sz w:val="20"/>
              </w:rPr>
            </w:pPr>
            <w:r w:rsidRPr="000368E9">
              <w:rPr>
                <w:bCs/>
                <w:sz w:val="20"/>
              </w:rPr>
              <w:t>Atnaujinti šilumos ūkio planų rengimo taisykles ir jų pagalba plačiau panaudoti efektyvias, AEI naudojančias centralizuoto šilumos ir vėsumos tiekimo sistemas ir derinant jas su vietiniais atsinaujinančiais energijos šaltiniais, pilnai atsisakyti taršių, iškastinį kurą naudojančių vietinio šildymo sistemų, sukuriant atskirus kvartalus ir miestus be nekontroliuojamų oro taršos šaltinių.</w:t>
            </w:r>
          </w:p>
        </w:tc>
        <w:tc>
          <w:tcPr>
            <w:tcW w:w="1134" w:type="dxa"/>
            <w:shd w:val="clear" w:color="auto" w:fill="FFFFFF" w:themeFill="background1"/>
          </w:tcPr>
          <w:p w14:paraId="277FEC27" w14:textId="77777777" w:rsidR="00047EF5" w:rsidRPr="000368E9" w:rsidRDefault="00047EF5" w:rsidP="00CF24BC">
            <w:pPr>
              <w:spacing w:after="120"/>
              <w:jc w:val="both"/>
              <w:rPr>
                <w:sz w:val="20"/>
              </w:rPr>
            </w:pPr>
            <w:r w:rsidRPr="000368E9">
              <w:rPr>
                <w:sz w:val="20"/>
              </w:rPr>
              <w:t>EN,</w:t>
            </w:r>
          </w:p>
          <w:p w14:paraId="71934970" w14:textId="77777777" w:rsidR="00047EF5" w:rsidRPr="000368E9" w:rsidRDefault="00047EF5" w:rsidP="00CF24BC">
            <w:pPr>
              <w:spacing w:after="120"/>
              <w:jc w:val="both"/>
              <w:rPr>
                <w:sz w:val="20"/>
              </w:rPr>
            </w:pPr>
            <w:r w:rsidRPr="000368E9">
              <w:rPr>
                <w:sz w:val="20"/>
              </w:rPr>
              <w:t>AM</w:t>
            </w:r>
          </w:p>
        </w:tc>
        <w:tc>
          <w:tcPr>
            <w:tcW w:w="4253" w:type="dxa"/>
            <w:vMerge/>
            <w:shd w:val="clear" w:color="auto" w:fill="FFFFFF" w:themeFill="background1"/>
          </w:tcPr>
          <w:p w14:paraId="3A755383" w14:textId="77777777" w:rsidR="00047EF5" w:rsidRPr="000368E9" w:rsidRDefault="00047EF5" w:rsidP="00CF24BC">
            <w:pPr>
              <w:spacing w:after="120"/>
              <w:rPr>
                <w:iCs/>
                <w:sz w:val="20"/>
              </w:rPr>
            </w:pPr>
          </w:p>
        </w:tc>
      </w:tr>
      <w:tr w:rsidR="00047EF5" w:rsidRPr="000368E9" w14:paraId="1B0D5A81" w14:textId="77777777" w:rsidTr="00CF24BC">
        <w:trPr>
          <w:trHeight w:val="360"/>
        </w:trPr>
        <w:tc>
          <w:tcPr>
            <w:tcW w:w="3256" w:type="dxa"/>
            <w:shd w:val="clear" w:color="auto" w:fill="FFFFFF" w:themeFill="background1"/>
          </w:tcPr>
          <w:p w14:paraId="3632CE6E" w14:textId="77777777" w:rsidR="00047EF5" w:rsidRPr="000368E9" w:rsidRDefault="00047EF5" w:rsidP="00CF24BC">
            <w:pPr>
              <w:spacing w:after="120"/>
              <w:rPr>
                <w:rFonts w:eastAsia="Arial Unicode MS"/>
                <w:bCs/>
                <w:color w:val="000000"/>
                <w:sz w:val="20"/>
              </w:rPr>
            </w:pPr>
            <w:r w:rsidRPr="000368E9">
              <w:rPr>
                <w:bCs/>
                <w:sz w:val="20"/>
              </w:rPr>
              <w:t>12.2.5. Renovacijos banga  – 1000 renovuotų daugiabučių per metus. </w:t>
            </w:r>
          </w:p>
        </w:tc>
        <w:tc>
          <w:tcPr>
            <w:tcW w:w="6520" w:type="dxa"/>
            <w:shd w:val="clear" w:color="auto" w:fill="FFFFFF" w:themeFill="background1"/>
          </w:tcPr>
          <w:p w14:paraId="5626340B" w14:textId="77777777" w:rsidR="00047EF5" w:rsidRPr="000368E9" w:rsidRDefault="00047EF5" w:rsidP="00CF24BC">
            <w:pPr>
              <w:spacing w:after="120"/>
              <w:rPr>
                <w:bCs/>
                <w:sz w:val="20"/>
              </w:rPr>
            </w:pPr>
            <w:r w:rsidRPr="000368E9">
              <w:rPr>
                <w:bCs/>
                <w:sz w:val="20"/>
              </w:rPr>
              <w:t xml:space="preserve">1. Remti </w:t>
            </w:r>
            <w:proofErr w:type="spellStart"/>
            <w:r w:rsidRPr="000368E9">
              <w:rPr>
                <w:bCs/>
                <w:sz w:val="20"/>
              </w:rPr>
              <w:t>kvartalinės</w:t>
            </w:r>
            <w:proofErr w:type="spellEnd"/>
            <w:r w:rsidRPr="000368E9">
              <w:rPr>
                <w:bCs/>
                <w:sz w:val="20"/>
              </w:rPr>
              <w:t xml:space="preserve"> renovacijos projektų įgyvendinimą, sukuriant patikimą finansinį pagrindą ir vieno langelio principu veikiančią sistemą nacionaliniu lygmeniu.</w:t>
            </w:r>
          </w:p>
          <w:p w14:paraId="12A75AEC" w14:textId="77777777" w:rsidR="00047EF5" w:rsidRPr="000368E9" w:rsidRDefault="00047EF5" w:rsidP="00CF24BC">
            <w:pPr>
              <w:spacing w:after="120"/>
              <w:rPr>
                <w:bCs/>
                <w:sz w:val="20"/>
              </w:rPr>
            </w:pPr>
            <w:r w:rsidRPr="000368E9">
              <w:rPr>
                <w:bCs/>
                <w:sz w:val="20"/>
              </w:rPr>
              <w:t>2. Sukurti bendrą Lietuvos būsto fondo duomenų bazę, kurioje būtų informacija apie pastatų techninę būklę, energinį efektyvumą ir kita aktuali informacija.</w:t>
            </w:r>
          </w:p>
          <w:p w14:paraId="3957C9CE" w14:textId="77777777" w:rsidR="00047EF5" w:rsidRPr="000368E9" w:rsidRDefault="00047EF5" w:rsidP="00CF24BC">
            <w:pPr>
              <w:spacing w:after="120"/>
              <w:rPr>
                <w:bCs/>
                <w:sz w:val="20"/>
              </w:rPr>
            </w:pPr>
            <w:r w:rsidRPr="000368E9">
              <w:rPr>
                <w:bCs/>
                <w:sz w:val="20"/>
              </w:rPr>
              <w:t xml:space="preserve">3. Sukurti teisinį mechanizmą ir skatinimo priemones pastatų šildymo ir karšto vandens susidėvėjusių ir neefektyvių sistemų atnaujinimui, kad jos atitiktų privalomuosius reikalavimus.  </w:t>
            </w:r>
          </w:p>
        </w:tc>
        <w:tc>
          <w:tcPr>
            <w:tcW w:w="1134" w:type="dxa"/>
            <w:shd w:val="clear" w:color="auto" w:fill="FFFFFF" w:themeFill="background1"/>
          </w:tcPr>
          <w:p w14:paraId="77E5B4E8" w14:textId="77777777" w:rsidR="00047EF5" w:rsidRPr="000368E9" w:rsidRDefault="00047EF5" w:rsidP="00CF24BC">
            <w:pPr>
              <w:spacing w:after="120"/>
              <w:jc w:val="both"/>
              <w:rPr>
                <w:sz w:val="20"/>
              </w:rPr>
            </w:pPr>
            <w:r w:rsidRPr="000368E9">
              <w:rPr>
                <w:sz w:val="20"/>
              </w:rPr>
              <w:t>AM, EN,</w:t>
            </w:r>
          </w:p>
          <w:p w14:paraId="425A16A7" w14:textId="77777777" w:rsidR="00047EF5" w:rsidRPr="000368E9" w:rsidRDefault="00047EF5" w:rsidP="00CF24BC">
            <w:pPr>
              <w:spacing w:after="120"/>
              <w:jc w:val="both"/>
              <w:rPr>
                <w:sz w:val="20"/>
              </w:rPr>
            </w:pPr>
            <w:r w:rsidRPr="000368E9">
              <w:rPr>
                <w:sz w:val="20"/>
              </w:rPr>
              <w:t>FM</w:t>
            </w:r>
          </w:p>
          <w:p w14:paraId="1523CD93" w14:textId="77777777" w:rsidR="00047EF5" w:rsidRPr="000368E9" w:rsidRDefault="00047EF5" w:rsidP="00CF24BC">
            <w:pPr>
              <w:spacing w:after="120"/>
              <w:jc w:val="both"/>
              <w:rPr>
                <w:sz w:val="20"/>
              </w:rPr>
            </w:pPr>
          </w:p>
          <w:p w14:paraId="19925021" w14:textId="77777777" w:rsidR="00047EF5" w:rsidRPr="000368E9" w:rsidRDefault="00047EF5" w:rsidP="00CF24BC">
            <w:pPr>
              <w:spacing w:after="120"/>
              <w:jc w:val="both"/>
              <w:rPr>
                <w:sz w:val="20"/>
              </w:rPr>
            </w:pPr>
            <w:r w:rsidRPr="000368E9">
              <w:rPr>
                <w:sz w:val="20"/>
              </w:rPr>
              <w:t>EN, AM</w:t>
            </w:r>
          </w:p>
          <w:p w14:paraId="1D18BFA8" w14:textId="77777777" w:rsidR="00047EF5" w:rsidRPr="000368E9" w:rsidRDefault="00047EF5" w:rsidP="00CF24BC">
            <w:pPr>
              <w:spacing w:after="120"/>
              <w:jc w:val="both"/>
              <w:rPr>
                <w:sz w:val="20"/>
              </w:rPr>
            </w:pPr>
          </w:p>
          <w:p w14:paraId="597D5650" w14:textId="77777777" w:rsidR="00047EF5" w:rsidRPr="000368E9" w:rsidRDefault="00047EF5" w:rsidP="00CF24BC">
            <w:pPr>
              <w:spacing w:after="120"/>
              <w:jc w:val="both"/>
              <w:rPr>
                <w:sz w:val="20"/>
              </w:rPr>
            </w:pPr>
            <w:r w:rsidRPr="000368E9">
              <w:rPr>
                <w:sz w:val="20"/>
              </w:rPr>
              <w:t>EN, AM</w:t>
            </w:r>
          </w:p>
        </w:tc>
        <w:tc>
          <w:tcPr>
            <w:tcW w:w="4253" w:type="dxa"/>
            <w:vMerge/>
            <w:shd w:val="clear" w:color="auto" w:fill="FFFFFF" w:themeFill="background1"/>
          </w:tcPr>
          <w:p w14:paraId="38652370" w14:textId="77777777" w:rsidR="00047EF5" w:rsidRPr="000368E9" w:rsidRDefault="00047EF5" w:rsidP="00CF24BC">
            <w:pPr>
              <w:spacing w:after="120"/>
              <w:rPr>
                <w:iCs/>
                <w:sz w:val="20"/>
              </w:rPr>
            </w:pPr>
          </w:p>
        </w:tc>
      </w:tr>
      <w:tr w:rsidR="00047EF5" w:rsidRPr="000368E9" w14:paraId="71417D37" w14:textId="77777777" w:rsidTr="00CF24BC">
        <w:trPr>
          <w:trHeight w:val="360"/>
        </w:trPr>
        <w:tc>
          <w:tcPr>
            <w:tcW w:w="3256" w:type="dxa"/>
            <w:shd w:val="clear" w:color="auto" w:fill="FFFFFF" w:themeFill="background1"/>
          </w:tcPr>
          <w:p w14:paraId="6A55C008" w14:textId="77777777" w:rsidR="00047EF5" w:rsidRPr="000368E9" w:rsidRDefault="00047EF5" w:rsidP="00CF24BC">
            <w:pPr>
              <w:spacing w:after="120"/>
              <w:rPr>
                <w:rFonts w:eastAsia="Arial Unicode MS"/>
                <w:color w:val="000000"/>
                <w:sz w:val="20"/>
              </w:rPr>
            </w:pPr>
            <w:r w:rsidRPr="000368E9">
              <w:rPr>
                <w:bCs/>
                <w:sz w:val="20"/>
              </w:rPr>
              <w:t>12.2.6. Klampią statybų biurokratiją pakeisime inovacijomis ir skaitmeninimu</w:t>
            </w:r>
            <w:r w:rsidRPr="000368E9">
              <w:rPr>
                <w:b/>
                <w:bCs/>
                <w:sz w:val="20"/>
              </w:rPr>
              <w:t>. </w:t>
            </w:r>
          </w:p>
        </w:tc>
        <w:tc>
          <w:tcPr>
            <w:tcW w:w="6520" w:type="dxa"/>
            <w:shd w:val="clear" w:color="auto" w:fill="FFFFFF" w:themeFill="background1"/>
          </w:tcPr>
          <w:p w14:paraId="76B4E372" w14:textId="77777777" w:rsidR="00047EF5" w:rsidRPr="000368E9" w:rsidRDefault="00047EF5" w:rsidP="00CF24BC">
            <w:pPr>
              <w:spacing w:after="120"/>
              <w:rPr>
                <w:bCs/>
                <w:sz w:val="20"/>
              </w:rPr>
            </w:pPr>
            <w:r w:rsidRPr="000368E9">
              <w:rPr>
                <w:bCs/>
                <w:sz w:val="20"/>
              </w:rPr>
              <w:t>1. Sukurti skaitmeninės statinių techninės ir naudojimo priežiūros platformą.</w:t>
            </w:r>
          </w:p>
          <w:p w14:paraId="148685E0" w14:textId="77777777" w:rsidR="00047EF5" w:rsidRPr="000368E9" w:rsidRDefault="00047EF5" w:rsidP="00CF24BC">
            <w:pPr>
              <w:spacing w:after="120"/>
              <w:rPr>
                <w:b/>
                <w:sz w:val="20"/>
              </w:rPr>
            </w:pPr>
            <w:r w:rsidRPr="000368E9">
              <w:rPr>
                <w:bCs/>
                <w:sz w:val="20"/>
              </w:rPr>
              <w:t>2. Numatyti griežtesnę atsakomybę ir kontrolę daugiabučių namų vidaus šildymo ir karšto vandens prižiūrėtojams.</w:t>
            </w:r>
          </w:p>
        </w:tc>
        <w:tc>
          <w:tcPr>
            <w:tcW w:w="1134" w:type="dxa"/>
            <w:shd w:val="clear" w:color="auto" w:fill="FFFFFF" w:themeFill="background1"/>
          </w:tcPr>
          <w:p w14:paraId="07CAA6CA" w14:textId="77777777" w:rsidR="00047EF5" w:rsidRPr="000368E9" w:rsidRDefault="00047EF5" w:rsidP="00CF24BC">
            <w:pPr>
              <w:spacing w:after="120"/>
              <w:jc w:val="both"/>
              <w:rPr>
                <w:sz w:val="20"/>
              </w:rPr>
            </w:pPr>
            <w:r w:rsidRPr="000368E9">
              <w:rPr>
                <w:sz w:val="20"/>
              </w:rPr>
              <w:t>AM</w:t>
            </w:r>
          </w:p>
          <w:p w14:paraId="046D40A5" w14:textId="77777777" w:rsidR="00047EF5" w:rsidRPr="000368E9" w:rsidRDefault="00047EF5" w:rsidP="00CF24BC">
            <w:pPr>
              <w:spacing w:after="120"/>
              <w:jc w:val="both"/>
              <w:rPr>
                <w:sz w:val="20"/>
              </w:rPr>
            </w:pPr>
          </w:p>
          <w:p w14:paraId="6E55A253" w14:textId="77777777" w:rsidR="00047EF5" w:rsidRPr="000368E9" w:rsidRDefault="00047EF5" w:rsidP="00CF24BC">
            <w:pPr>
              <w:spacing w:after="120"/>
              <w:jc w:val="both"/>
              <w:rPr>
                <w:sz w:val="20"/>
              </w:rPr>
            </w:pPr>
            <w:r w:rsidRPr="000368E9">
              <w:rPr>
                <w:sz w:val="20"/>
              </w:rPr>
              <w:t>AM, EN</w:t>
            </w:r>
          </w:p>
        </w:tc>
        <w:tc>
          <w:tcPr>
            <w:tcW w:w="4253" w:type="dxa"/>
            <w:vMerge/>
            <w:shd w:val="clear" w:color="auto" w:fill="FFFFFF" w:themeFill="background1"/>
          </w:tcPr>
          <w:p w14:paraId="664146AE" w14:textId="77777777" w:rsidR="00047EF5" w:rsidRPr="000368E9" w:rsidRDefault="00047EF5" w:rsidP="00CF24BC">
            <w:pPr>
              <w:spacing w:after="120"/>
              <w:rPr>
                <w:iCs/>
                <w:sz w:val="20"/>
              </w:rPr>
            </w:pPr>
          </w:p>
        </w:tc>
      </w:tr>
      <w:tr w:rsidR="00047EF5" w:rsidRPr="000368E9" w14:paraId="509703AC" w14:textId="77777777" w:rsidTr="00CF24BC">
        <w:trPr>
          <w:trHeight w:val="360"/>
        </w:trPr>
        <w:tc>
          <w:tcPr>
            <w:tcW w:w="3256" w:type="dxa"/>
            <w:shd w:val="clear" w:color="auto" w:fill="FFFFFF" w:themeFill="background1"/>
          </w:tcPr>
          <w:p w14:paraId="786D986B" w14:textId="77777777" w:rsidR="00047EF5" w:rsidRPr="000368E9" w:rsidRDefault="00047EF5" w:rsidP="00CF24BC">
            <w:pPr>
              <w:spacing w:after="120"/>
              <w:rPr>
                <w:rFonts w:eastAsia="Arial Unicode MS"/>
                <w:bCs/>
                <w:color w:val="000000"/>
                <w:sz w:val="20"/>
              </w:rPr>
            </w:pPr>
            <w:r w:rsidRPr="000368E9">
              <w:rPr>
                <w:bCs/>
                <w:sz w:val="20"/>
              </w:rPr>
              <w:t>12.3.1. Plėsime žaliosios elektros energijos generaciją. </w:t>
            </w:r>
          </w:p>
        </w:tc>
        <w:tc>
          <w:tcPr>
            <w:tcW w:w="6520" w:type="dxa"/>
            <w:shd w:val="clear" w:color="auto" w:fill="FFFFFF" w:themeFill="background1"/>
          </w:tcPr>
          <w:p w14:paraId="1F7D4160" w14:textId="77777777" w:rsidR="00047EF5" w:rsidRPr="000368E9" w:rsidRDefault="00047EF5" w:rsidP="00CF24BC">
            <w:pPr>
              <w:spacing w:after="120"/>
              <w:rPr>
                <w:bCs/>
                <w:sz w:val="20"/>
              </w:rPr>
            </w:pPr>
            <w:r w:rsidRPr="000368E9">
              <w:rPr>
                <w:bCs/>
                <w:sz w:val="20"/>
              </w:rPr>
              <w:t xml:space="preserve">Remti senų susidėvėjusių centralizuoto šildymo biokuro katilų keitimą mažomis biokuro </w:t>
            </w:r>
            <w:proofErr w:type="spellStart"/>
            <w:r w:rsidRPr="000368E9">
              <w:rPr>
                <w:bCs/>
                <w:sz w:val="20"/>
              </w:rPr>
              <w:t>kogeneracinėmis</w:t>
            </w:r>
            <w:proofErr w:type="spellEnd"/>
            <w:r w:rsidRPr="000368E9">
              <w:rPr>
                <w:bCs/>
                <w:sz w:val="20"/>
              </w:rPr>
              <w:t xml:space="preserve"> jėgainėmis.</w:t>
            </w:r>
          </w:p>
        </w:tc>
        <w:tc>
          <w:tcPr>
            <w:tcW w:w="1134" w:type="dxa"/>
            <w:shd w:val="clear" w:color="auto" w:fill="FFFFFF" w:themeFill="background1"/>
          </w:tcPr>
          <w:p w14:paraId="2341C722" w14:textId="77777777" w:rsidR="00047EF5" w:rsidRPr="000368E9" w:rsidRDefault="00047EF5" w:rsidP="00CF24BC">
            <w:pPr>
              <w:spacing w:after="120"/>
              <w:jc w:val="both"/>
              <w:rPr>
                <w:sz w:val="20"/>
              </w:rPr>
            </w:pPr>
            <w:r w:rsidRPr="000368E9">
              <w:rPr>
                <w:sz w:val="20"/>
              </w:rPr>
              <w:t>EM</w:t>
            </w:r>
          </w:p>
        </w:tc>
        <w:tc>
          <w:tcPr>
            <w:tcW w:w="4253" w:type="dxa"/>
            <w:vMerge/>
            <w:shd w:val="clear" w:color="auto" w:fill="FFFFFF" w:themeFill="background1"/>
          </w:tcPr>
          <w:p w14:paraId="2D81333A" w14:textId="77777777" w:rsidR="00047EF5" w:rsidRPr="000368E9" w:rsidRDefault="00047EF5" w:rsidP="00CF24BC">
            <w:pPr>
              <w:spacing w:after="120"/>
              <w:rPr>
                <w:iCs/>
                <w:sz w:val="20"/>
              </w:rPr>
            </w:pPr>
          </w:p>
        </w:tc>
      </w:tr>
    </w:tbl>
    <w:p w14:paraId="4C74C1E3" w14:textId="77777777" w:rsidR="00047EF5" w:rsidRDefault="00047EF5" w:rsidP="00047EF5">
      <w:pPr>
        <w:spacing w:after="120"/>
        <w:rPr>
          <w:sz w:val="20"/>
        </w:rPr>
      </w:pPr>
    </w:p>
    <w:tbl>
      <w:tblPr>
        <w:tblStyle w:val="Lentelstinklelis"/>
        <w:tblW w:w="15163" w:type="dxa"/>
        <w:tblLayout w:type="fixed"/>
        <w:tblLook w:val="04A0" w:firstRow="1" w:lastRow="0" w:firstColumn="1" w:lastColumn="0" w:noHBand="0" w:noVBand="1"/>
      </w:tblPr>
      <w:tblGrid>
        <w:gridCol w:w="3681"/>
        <w:gridCol w:w="5528"/>
        <w:gridCol w:w="1418"/>
        <w:gridCol w:w="4536"/>
      </w:tblGrid>
      <w:tr w:rsidR="00047EF5" w:rsidRPr="000368E9" w14:paraId="2B8616A0" w14:textId="77777777" w:rsidTr="00CF24BC">
        <w:trPr>
          <w:trHeight w:val="324"/>
        </w:trPr>
        <w:tc>
          <w:tcPr>
            <w:tcW w:w="15163" w:type="dxa"/>
            <w:gridSpan w:val="4"/>
            <w:shd w:val="clear" w:color="auto" w:fill="538135" w:themeFill="accent6" w:themeFillShade="BF"/>
          </w:tcPr>
          <w:p w14:paraId="363F0A97" w14:textId="77777777" w:rsidR="00047EF5" w:rsidRPr="000368E9" w:rsidRDefault="00047EF5" w:rsidP="00CF24BC">
            <w:pPr>
              <w:jc w:val="center"/>
              <w:rPr>
                <w:b/>
                <w:bCs/>
                <w:iCs/>
                <w:szCs w:val="24"/>
              </w:rPr>
            </w:pPr>
            <w:r w:rsidRPr="000368E9">
              <w:rPr>
                <w:rFonts w:eastAsia="Arial Unicode MS"/>
                <w:b/>
                <w:bCs/>
                <w:color w:val="000000"/>
                <w:szCs w:val="24"/>
              </w:rPr>
              <w:lastRenderedPageBreak/>
              <w:t>APLINKOSAUGA</w:t>
            </w:r>
          </w:p>
        </w:tc>
      </w:tr>
      <w:tr w:rsidR="00047EF5" w:rsidRPr="000368E9" w14:paraId="3225A91E" w14:textId="77777777" w:rsidTr="00CF24BC">
        <w:trPr>
          <w:trHeight w:val="360"/>
        </w:trPr>
        <w:tc>
          <w:tcPr>
            <w:tcW w:w="3681" w:type="dxa"/>
            <w:shd w:val="clear" w:color="auto" w:fill="D9D9D9" w:themeFill="background1" w:themeFillShade="D9"/>
          </w:tcPr>
          <w:p w14:paraId="521ED4CF" w14:textId="77777777" w:rsidR="00047EF5" w:rsidRPr="000368E9" w:rsidRDefault="00047EF5" w:rsidP="00CF24BC">
            <w:pPr>
              <w:jc w:val="both"/>
              <w:rPr>
                <w:b/>
                <w:bCs/>
                <w:sz w:val="20"/>
              </w:rPr>
            </w:pPr>
            <w:r w:rsidRPr="000368E9">
              <w:rPr>
                <w:b/>
                <w:bCs/>
                <w:sz w:val="20"/>
              </w:rPr>
              <w:t>LRV programos prioritetas</w:t>
            </w:r>
          </w:p>
          <w:p w14:paraId="03D6FD7E" w14:textId="77777777" w:rsidR="00047EF5" w:rsidRPr="000368E9" w:rsidRDefault="00047EF5" w:rsidP="00CF24BC">
            <w:pPr>
              <w:spacing w:after="120"/>
              <w:rPr>
                <w:rFonts w:eastAsia="Arial Unicode MS"/>
                <w:color w:val="000000"/>
                <w:sz w:val="20"/>
              </w:rPr>
            </w:pPr>
          </w:p>
        </w:tc>
        <w:tc>
          <w:tcPr>
            <w:tcW w:w="5528" w:type="dxa"/>
            <w:shd w:val="clear" w:color="auto" w:fill="D9D9D9" w:themeFill="background1" w:themeFillShade="D9"/>
          </w:tcPr>
          <w:p w14:paraId="69C77AA7" w14:textId="77777777" w:rsidR="00047EF5" w:rsidRPr="000368E9" w:rsidRDefault="00047EF5" w:rsidP="00CF24BC">
            <w:pPr>
              <w:spacing w:after="120"/>
              <w:rPr>
                <w:sz w:val="20"/>
              </w:rPr>
            </w:pPr>
            <w:r w:rsidRPr="000368E9">
              <w:rPr>
                <w:b/>
                <w:bCs/>
                <w:sz w:val="20"/>
              </w:rPr>
              <w:t>LSA siūloma priemonė</w:t>
            </w:r>
          </w:p>
        </w:tc>
        <w:tc>
          <w:tcPr>
            <w:tcW w:w="1418" w:type="dxa"/>
            <w:shd w:val="clear" w:color="auto" w:fill="D9D9D9" w:themeFill="background1" w:themeFillShade="D9"/>
          </w:tcPr>
          <w:p w14:paraId="24B93522" w14:textId="77777777" w:rsidR="00047EF5" w:rsidRPr="000368E9" w:rsidRDefault="00047EF5" w:rsidP="00CF24BC">
            <w:pPr>
              <w:spacing w:after="120"/>
              <w:jc w:val="both"/>
              <w:rPr>
                <w:sz w:val="20"/>
              </w:rPr>
            </w:pPr>
            <w:r w:rsidRPr="000368E9">
              <w:rPr>
                <w:b/>
                <w:bCs/>
                <w:sz w:val="20"/>
              </w:rPr>
              <w:t>Atsakinga institucija</w:t>
            </w:r>
          </w:p>
        </w:tc>
        <w:tc>
          <w:tcPr>
            <w:tcW w:w="4536" w:type="dxa"/>
            <w:shd w:val="clear" w:color="auto" w:fill="D9D9D9" w:themeFill="background1" w:themeFillShade="D9"/>
          </w:tcPr>
          <w:p w14:paraId="7038125F" w14:textId="77777777" w:rsidR="00047EF5" w:rsidRPr="000368E9" w:rsidRDefault="00047EF5" w:rsidP="00CF24BC">
            <w:pPr>
              <w:spacing w:after="120"/>
              <w:rPr>
                <w:iCs/>
                <w:sz w:val="20"/>
              </w:rPr>
            </w:pPr>
            <w:r w:rsidRPr="000368E9">
              <w:rPr>
                <w:b/>
                <w:bCs/>
                <w:sz w:val="20"/>
              </w:rPr>
              <w:t>Priemonės sąsaja su NPP tikslais, ET rekomendacijomis Lietuvai, RRF prioritetais</w:t>
            </w:r>
          </w:p>
        </w:tc>
      </w:tr>
      <w:tr w:rsidR="00047EF5" w:rsidRPr="000368E9" w14:paraId="4185627A" w14:textId="77777777" w:rsidTr="00CF24BC">
        <w:trPr>
          <w:trHeight w:val="360"/>
        </w:trPr>
        <w:tc>
          <w:tcPr>
            <w:tcW w:w="3681" w:type="dxa"/>
            <w:shd w:val="clear" w:color="auto" w:fill="auto"/>
          </w:tcPr>
          <w:p w14:paraId="69D5BF3C" w14:textId="77777777" w:rsidR="00047EF5" w:rsidRPr="000368E9" w:rsidRDefault="00047EF5" w:rsidP="00CF24BC">
            <w:pPr>
              <w:jc w:val="both"/>
              <w:rPr>
                <w:sz w:val="20"/>
              </w:rPr>
            </w:pPr>
            <w:r w:rsidRPr="000368E9">
              <w:rPr>
                <w:sz w:val="20"/>
              </w:rPr>
              <w:t>12.1. Projektas: Žiedinė ir klimatui neutrali ekonomika.</w:t>
            </w:r>
          </w:p>
          <w:p w14:paraId="48164ABF" w14:textId="77777777" w:rsidR="00047EF5" w:rsidRPr="000368E9" w:rsidRDefault="00047EF5" w:rsidP="00CF24BC">
            <w:pPr>
              <w:jc w:val="both"/>
              <w:rPr>
                <w:sz w:val="20"/>
              </w:rPr>
            </w:pPr>
            <w:r w:rsidRPr="000368E9">
              <w:rPr>
                <w:sz w:val="20"/>
                <w:lang w:val="en-US"/>
              </w:rPr>
              <w:t xml:space="preserve">12.1.3. </w:t>
            </w:r>
            <w:proofErr w:type="spellStart"/>
            <w:r w:rsidRPr="000368E9">
              <w:rPr>
                <w:sz w:val="20"/>
                <w:lang w:val="en-US"/>
              </w:rPr>
              <w:t>Klimatui</w:t>
            </w:r>
            <w:proofErr w:type="spellEnd"/>
            <w:r w:rsidRPr="000368E9">
              <w:rPr>
                <w:sz w:val="20"/>
                <w:lang w:val="en-US"/>
              </w:rPr>
              <w:t xml:space="preserve"> </w:t>
            </w:r>
            <w:proofErr w:type="spellStart"/>
            <w:r w:rsidRPr="000368E9">
              <w:rPr>
                <w:sz w:val="20"/>
                <w:lang w:val="en-US"/>
              </w:rPr>
              <w:t>neutrali</w:t>
            </w:r>
            <w:proofErr w:type="spellEnd"/>
            <w:r w:rsidRPr="000368E9">
              <w:rPr>
                <w:sz w:val="20"/>
                <w:lang w:val="en-US"/>
              </w:rPr>
              <w:t xml:space="preserve"> </w:t>
            </w:r>
            <w:proofErr w:type="spellStart"/>
            <w:r w:rsidRPr="000368E9">
              <w:rPr>
                <w:sz w:val="20"/>
                <w:lang w:val="en-US"/>
              </w:rPr>
              <w:t>ekonomika</w:t>
            </w:r>
            <w:proofErr w:type="spellEnd"/>
            <w:r w:rsidRPr="000368E9">
              <w:rPr>
                <w:sz w:val="20"/>
                <w:lang w:val="en-US"/>
              </w:rPr>
              <w:t xml:space="preserve"> </w:t>
            </w:r>
            <w:proofErr w:type="spellStart"/>
            <w:r w:rsidRPr="000368E9">
              <w:rPr>
                <w:sz w:val="20"/>
                <w:lang w:val="en-US"/>
              </w:rPr>
              <w:t>iki</w:t>
            </w:r>
            <w:proofErr w:type="spellEnd"/>
            <w:r w:rsidRPr="000368E9">
              <w:rPr>
                <w:sz w:val="20"/>
                <w:lang w:val="en-US"/>
              </w:rPr>
              <w:t xml:space="preserve"> 2050 m. Per de</w:t>
            </w:r>
            <w:r w:rsidRPr="000368E9">
              <w:rPr>
                <w:sz w:val="20"/>
              </w:rPr>
              <w:t>šimtmetį investuosime į klimatui draugiškas technologijas.</w:t>
            </w:r>
          </w:p>
          <w:p w14:paraId="1A3E5516" w14:textId="77777777" w:rsidR="00047EF5" w:rsidRPr="000368E9" w:rsidRDefault="00047EF5" w:rsidP="00CF24BC">
            <w:pPr>
              <w:jc w:val="both"/>
              <w:rPr>
                <w:b/>
                <w:bCs/>
                <w:sz w:val="20"/>
              </w:rPr>
            </w:pPr>
          </w:p>
        </w:tc>
        <w:tc>
          <w:tcPr>
            <w:tcW w:w="5528" w:type="dxa"/>
            <w:shd w:val="clear" w:color="auto" w:fill="auto"/>
          </w:tcPr>
          <w:p w14:paraId="6452DC58" w14:textId="77777777" w:rsidR="00047EF5" w:rsidRPr="000368E9" w:rsidRDefault="00047EF5" w:rsidP="00CF24BC">
            <w:pPr>
              <w:spacing w:after="120"/>
              <w:rPr>
                <w:sz w:val="20"/>
              </w:rPr>
            </w:pPr>
            <w:r w:rsidRPr="000368E9">
              <w:rPr>
                <w:sz w:val="20"/>
              </w:rPr>
              <w:t>Sukurti maisto ir tekstilės atliekų surinkimo ir perdirbimo (kompostavimo arba dujų išgavimo) infrastruktūras.</w:t>
            </w:r>
          </w:p>
          <w:p w14:paraId="59DC1461" w14:textId="77777777" w:rsidR="00047EF5" w:rsidRPr="000368E9" w:rsidRDefault="00047EF5" w:rsidP="00CF24BC">
            <w:pPr>
              <w:spacing w:after="120"/>
              <w:rPr>
                <w:b/>
                <w:bCs/>
                <w:sz w:val="20"/>
              </w:rPr>
            </w:pPr>
          </w:p>
        </w:tc>
        <w:tc>
          <w:tcPr>
            <w:tcW w:w="1418" w:type="dxa"/>
            <w:shd w:val="clear" w:color="auto" w:fill="auto"/>
          </w:tcPr>
          <w:p w14:paraId="6B06A31B" w14:textId="77777777" w:rsidR="00047EF5" w:rsidRPr="000368E9" w:rsidRDefault="00047EF5" w:rsidP="00CF24BC">
            <w:pPr>
              <w:spacing w:after="120"/>
              <w:jc w:val="both"/>
              <w:rPr>
                <w:sz w:val="20"/>
              </w:rPr>
            </w:pPr>
            <w:r w:rsidRPr="000368E9">
              <w:rPr>
                <w:sz w:val="20"/>
              </w:rPr>
              <w:t>AM, ŽŪM</w:t>
            </w:r>
          </w:p>
        </w:tc>
        <w:tc>
          <w:tcPr>
            <w:tcW w:w="4536" w:type="dxa"/>
            <w:vMerge w:val="restart"/>
            <w:shd w:val="clear" w:color="auto" w:fill="auto"/>
          </w:tcPr>
          <w:p w14:paraId="78AC22CA" w14:textId="77777777" w:rsidR="00047EF5" w:rsidRPr="000368E9" w:rsidRDefault="00047EF5" w:rsidP="00CF24BC">
            <w:pPr>
              <w:spacing w:after="120"/>
              <w:rPr>
                <w:b/>
                <w:sz w:val="20"/>
              </w:rPr>
            </w:pPr>
            <w:r w:rsidRPr="000368E9">
              <w:rPr>
                <w:b/>
                <w:bCs/>
                <w:sz w:val="20"/>
              </w:rPr>
              <w:t>Atitinka</w:t>
            </w:r>
            <w:r w:rsidRPr="000368E9">
              <w:rPr>
                <w:sz w:val="20"/>
              </w:rPr>
              <w:t xml:space="preserve"> net kelis NPP tikslus, iš kurių labiausiai:</w:t>
            </w:r>
          </w:p>
          <w:p w14:paraId="7EBF9371" w14:textId="77777777" w:rsidR="00047EF5" w:rsidRPr="000368E9" w:rsidRDefault="00047EF5" w:rsidP="00CF24BC">
            <w:pPr>
              <w:spacing w:after="120"/>
              <w:rPr>
                <w:sz w:val="20"/>
              </w:rPr>
            </w:pPr>
            <w:r w:rsidRPr="000368E9">
              <w:rPr>
                <w:b/>
                <w:sz w:val="20"/>
              </w:rPr>
              <w:t>NPP 6 strateginis tikslas.</w:t>
            </w:r>
            <w:r w:rsidRPr="000368E9">
              <w:rPr>
                <w:sz w:val="20"/>
              </w:rPr>
              <w:t xml:space="preserve"> Užtikrinti gerą aplinkos kokybę ir gamtos išteklių naudojimo darną, saugoti biologinę įvairovę, švelninti Lietuvos poveikį klimato kaitai ir didinti atsparumą jos poveikiui.</w:t>
            </w:r>
          </w:p>
          <w:p w14:paraId="16886431" w14:textId="77777777" w:rsidR="00047EF5" w:rsidRPr="000368E9" w:rsidRDefault="00047EF5" w:rsidP="00CF24BC">
            <w:pPr>
              <w:spacing w:after="120"/>
              <w:rPr>
                <w:sz w:val="20"/>
              </w:rPr>
            </w:pPr>
            <w:r w:rsidRPr="000368E9">
              <w:rPr>
                <w:b/>
                <w:sz w:val="20"/>
              </w:rPr>
              <w:t>NPP 7 strateginis tikslas.</w:t>
            </w:r>
            <w:r w:rsidRPr="000368E9">
              <w:rPr>
                <w:sz w:val="20"/>
              </w:rPr>
              <w:t xml:space="preserve"> Tvariai ir subalansuotai vystyti Lietuvos teritoriją ir mažinti regioninę atskirtį.</w:t>
            </w:r>
          </w:p>
          <w:p w14:paraId="0978754F" w14:textId="77777777" w:rsidR="00047EF5" w:rsidRPr="000368E9" w:rsidRDefault="00047EF5" w:rsidP="00CF24BC">
            <w:pPr>
              <w:spacing w:after="120"/>
              <w:rPr>
                <w:sz w:val="20"/>
              </w:rPr>
            </w:pPr>
            <w:r w:rsidRPr="000368E9">
              <w:rPr>
                <w:b/>
                <w:bCs/>
                <w:sz w:val="20"/>
              </w:rPr>
              <w:t>ET 3 rekomendacija (2020).</w:t>
            </w:r>
            <w:r w:rsidRPr="000368E9">
              <w:rPr>
                <w:sz w:val="20"/>
              </w:rPr>
              <w:t xml:space="preserve"> &lt;...&gt;. Investicijas </w:t>
            </w:r>
            <w:r w:rsidRPr="000368E9">
              <w:rPr>
                <w:b/>
                <w:bCs/>
                <w:sz w:val="20"/>
              </w:rPr>
              <w:t>sutelkti į žaliąją ir skaitmeninę pertvarką</w:t>
            </w:r>
            <w:r w:rsidRPr="000368E9">
              <w:rPr>
                <w:sz w:val="20"/>
              </w:rPr>
              <w:t xml:space="preserve">, visų pirma, į labai didelio pajėgumo plačiajuosčio ryšio aprėptį ir </w:t>
            </w:r>
            <w:proofErr w:type="spellStart"/>
            <w:r w:rsidRPr="000368E9">
              <w:rPr>
                <w:sz w:val="20"/>
              </w:rPr>
              <w:t>skverbtį</w:t>
            </w:r>
            <w:proofErr w:type="spellEnd"/>
            <w:r w:rsidRPr="000368E9">
              <w:rPr>
                <w:sz w:val="20"/>
              </w:rPr>
              <w:t>, švarią ir efektyvią energijos gamybą bei vartojimą ir darnųjį transportą.</w:t>
            </w:r>
          </w:p>
          <w:p w14:paraId="6D391271" w14:textId="77777777" w:rsidR="00047EF5" w:rsidRPr="000368E9" w:rsidRDefault="00047EF5" w:rsidP="00CF24BC">
            <w:pPr>
              <w:spacing w:after="120"/>
              <w:rPr>
                <w:b/>
                <w:bCs/>
                <w:sz w:val="20"/>
              </w:rPr>
            </w:pPr>
            <w:r w:rsidRPr="000368E9">
              <w:rPr>
                <w:b/>
                <w:sz w:val="20"/>
              </w:rPr>
              <w:t xml:space="preserve">Atitinka </w:t>
            </w:r>
            <w:r w:rsidRPr="000368E9">
              <w:rPr>
                <w:bCs/>
                <w:sz w:val="20"/>
              </w:rPr>
              <w:t xml:space="preserve">net kelias RRF taikymo sritis, iš kurių labiausiai: </w:t>
            </w:r>
            <w:r w:rsidRPr="000368E9">
              <w:rPr>
                <w:b/>
                <w:bCs/>
                <w:iCs/>
                <w:sz w:val="20"/>
              </w:rPr>
              <w:t>žalioji pertvarka, ekonominė, socialinė ir teritorinė sanglauda.</w:t>
            </w:r>
          </w:p>
        </w:tc>
      </w:tr>
      <w:tr w:rsidR="00047EF5" w:rsidRPr="000368E9" w14:paraId="035855FF" w14:textId="77777777" w:rsidTr="00CF24BC">
        <w:trPr>
          <w:trHeight w:val="360"/>
        </w:trPr>
        <w:tc>
          <w:tcPr>
            <w:tcW w:w="3681" w:type="dxa"/>
            <w:shd w:val="clear" w:color="auto" w:fill="FFFFFF" w:themeFill="background1"/>
          </w:tcPr>
          <w:p w14:paraId="351FABAD" w14:textId="77777777" w:rsidR="00047EF5" w:rsidRPr="000368E9" w:rsidRDefault="00047EF5" w:rsidP="00CF24BC">
            <w:pPr>
              <w:spacing w:after="120"/>
              <w:rPr>
                <w:bCs/>
                <w:i/>
                <w:sz w:val="20"/>
              </w:rPr>
            </w:pPr>
            <w:r w:rsidRPr="000368E9">
              <w:rPr>
                <w:bCs/>
                <w:iCs/>
                <w:sz w:val="20"/>
              </w:rPr>
              <w:t xml:space="preserve">12.4. </w:t>
            </w:r>
            <w:r w:rsidRPr="000368E9">
              <w:rPr>
                <w:bCs/>
                <w:sz w:val="20"/>
              </w:rPr>
              <w:t>Projektas: gamtinio kapitalo apsauga ir tvarus naudojimas.</w:t>
            </w:r>
          </w:p>
        </w:tc>
        <w:tc>
          <w:tcPr>
            <w:tcW w:w="5528" w:type="dxa"/>
            <w:shd w:val="clear" w:color="auto" w:fill="FFFFFF" w:themeFill="background1"/>
          </w:tcPr>
          <w:p w14:paraId="1B09DF05" w14:textId="77777777" w:rsidR="00047EF5" w:rsidRPr="000368E9" w:rsidRDefault="00047EF5" w:rsidP="00CF24BC">
            <w:pPr>
              <w:spacing w:after="120"/>
              <w:rPr>
                <w:bCs/>
                <w:sz w:val="20"/>
              </w:rPr>
            </w:pPr>
            <w:r w:rsidRPr="000368E9">
              <w:rPr>
                <w:bCs/>
                <w:sz w:val="20"/>
              </w:rPr>
              <w:t>Parengti Saugomų teritorijų įstatymo pakeitimo projektą.</w:t>
            </w:r>
          </w:p>
        </w:tc>
        <w:tc>
          <w:tcPr>
            <w:tcW w:w="1418" w:type="dxa"/>
            <w:shd w:val="clear" w:color="auto" w:fill="FFFFFF" w:themeFill="background1"/>
          </w:tcPr>
          <w:p w14:paraId="64BD8E1E" w14:textId="77777777" w:rsidR="00047EF5" w:rsidRPr="000368E9" w:rsidRDefault="00047EF5" w:rsidP="00CF24BC">
            <w:pPr>
              <w:spacing w:after="120"/>
              <w:jc w:val="both"/>
              <w:rPr>
                <w:sz w:val="20"/>
              </w:rPr>
            </w:pPr>
            <w:r w:rsidRPr="000368E9">
              <w:rPr>
                <w:sz w:val="20"/>
              </w:rPr>
              <w:t>AM</w:t>
            </w:r>
          </w:p>
        </w:tc>
        <w:tc>
          <w:tcPr>
            <w:tcW w:w="4536" w:type="dxa"/>
            <w:vMerge/>
            <w:shd w:val="clear" w:color="auto" w:fill="FFFFFF" w:themeFill="background1"/>
          </w:tcPr>
          <w:p w14:paraId="570203CB" w14:textId="77777777" w:rsidR="00047EF5" w:rsidRPr="000368E9" w:rsidRDefault="00047EF5" w:rsidP="00CF24BC">
            <w:pPr>
              <w:spacing w:after="120"/>
              <w:rPr>
                <w:b/>
                <w:bCs/>
                <w:iCs/>
                <w:sz w:val="20"/>
              </w:rPr>
            </w:pPr>
          </w:p>
        </w:tc>
      </w:tr>
      <w:tr w:rsidR="00047EF5" w:rsidRPr="000368E9" w14:paraId="693B3DFE" w14:textId="77777777" w:rsidTr="00CF24BC">
        <w:trPr>
          <w:trHeight w:val="360"/>
        </w:trPr>
        <w:tc>
          <w:tcPr>
            <w:tcW w:w="3681" w:type="dxa"/>
            <w:shd w:val="clear" w:color="auto" w:fill="FFFFFF" w:themeFill="background1"/>
          </w:tcPr>
          <w:p w14:paraId="6EE7C38B" w14:textId="77777777" w:rsidR="00047EF5" w:rsidRPr="000368E9" w:rsidRDefault="00047EF5" w:rsidP="00CF24BC">
            <w:pPr>
              <w:spacing w:after="120"/>
              <w:rPr>
                <w:rFonts w:eastAsia="Arial Unicode MS"/>
                <w:bCs/>
                <w:color w:val="000000"/>
                <w:sz w:val="20"/>
              </w:rPr>
            </w:pPr>
            <w:r w:rsidRPr="000368E9">
              <w:rPr>
                <w:bCs/>
                <w:iCs/>
                <w:sz w:val="20"/>
              </w:rPr>
              <w:t>12.4.4. Iki 90 proc. padidinsime švarių vandens telkinių skaičių.</w:t>
            </w:r>
          </w:p>
        </w:tc>
        <w:tc>
          <w:tcPr>
            <w:tcW w:w="5528" w:type="dxa"/>
            <w:shd w:val="clear" w:color="auto" w:fill="FFFFFF" w:themeFill="background1"/>
          </w:tcPr>
          <w:p w14:paraId="4C459645" w14:textId="77777777" w:rsidR="00047EF5" w:rsidRPr="000368E9" w:rsidRDefault="00047EF5" w:rsidP="00CF24BC">
            <w:pPr>
              <w:spacing w:after="120"/>
              <w:rPr>
                <w:bCs/>
                <w:sz w:val="20"/>
              </w:rPr>
            </w:pPr>
            <w:r w:rsidRPr="000368E9">
              <w:rPr>
                <w:bCs/>
                <w:sz w:val="20"/>
              </w:rPr>
              <w:t>Įgyvendinti geriamojo vandens tiekimo ir nuotekų tvarkymo paslaugų sektoriaus reformą (vandens tiekimo ir nuotekų tvarkymo sistemų ir infrastruktūros atnaujinimas bei plėtra, tam reikalingų finansinių priemonių sukūrimas).</w:t>
            </w:r>
          </w:p>
        </w:tc>
        <w:tc>
          <w:tcPr>
            <w:tcW w:w="1418" w:type="dxa"/>
            <w:shd w:val="clear" w:color="auto" w:fill="FFFFFF" w:themeFill="background1"/>
          </w:tcPr>
          <w:p w14:paraId="24A2A8C3" w14:textId="77777777" w:rsidR="00047EF5" w:rsidRPr="000368E9" w:rsidRDefault="00047EF5" w:rsidP="00CF24BC">
            <w:pPr>
              <w:spacing w:after="120"/>
              <w:jc w:val="both"/>
              <w:rPr>
                <w:sz w:val="20"/>
              </w:rPr>
            </w:pPr>
            <w:r w:rsidRPr="000368E9">
              <w:rPr>
                <w:sz w:val="20"/>
              </w:rPr>
              <w:t>AM</w:t>
            </w:r>
          </w:p>
        </w:tc>
        <w:tc>
          <w:tcPr>
            <w:tcW w:w="4536" w:type="dxa"/>
            <w:vMerge/>
            <w:shd w:val="clear" w:color="auto" w:fill="FFFFFF" w:themeFill="background1"/>
          </w:tcPr>
          <w:p w14:paraId="0F311690" w14:textId="77777777" w:rsidR="00047EF5" w:rsidRPr="000368E9" w:rsidRDefault="00047EF5" w:rsidP="00CF24BC">
            <w:pPr>
              <w:spacing w:after="120"/>
              <w:rPr>
                <w:iCs/>
                <w:sz w:val="20"/>
              </w:rPr>
            </w:pPr>
          </w:p>
        </w:tc>
      </w:tr>
      <w:tr w:rsidR="00047EF5" w:rsidRPr="000368E9" w14:paraId="203CBABF" w14:textId="77777777" w:rsidTr="00CF24BC">
        <w:trPr>
          <w:trHeight w:val="360"/>
        </w:trPr>
        <w:tc>
          <w:tcPr>
            <w:tcW w:w="3681" w:type="dxa"/>
            <w:shd w:val="clear" w:color="auto" w:fill="FFFFFF" w:themeFill="background1"/>
          </w:tcPr>
          <w:p w14:paraId="20C63582" w14:textId="77777777" w:rsidR="00047EF5" w:rsidRPr="000368E9" w:rsidRDefault="00047EF5" w:rsidP="00CF24BC">
            <w:pPr>
              <w:spacing w:after="120"/>
              <w:rPr>
                <w:rFonts w:eastAsia="Arial Unicode MS"/>
                <w:bCs/>
                <w:color w:val="000000"/>
                <w:sz w:val="20"/>
              </w:rPr>
            </w:pPr>
            <w:r w:rsidRPr="000368E9">
              <w:rPr>
                <w:bCs/>
                <w:sz w:val="20"/>
              </w:rPr>
              <w:t>12.4.5. Taikli gamtosauga.</w:t>
            </w:r>
          </w:p>
        </w:tc>
        <w:tc>
          <w:tcPr>
            <w:tcW w:w="5528" w:type="dxa"/>
            <w:shd w:val="clear" w:color="auto" w:fill="FFFFFF" w:themeFill="background1"/>
          </w:tcPr>
          <w:p w14:paraId="6EFF75D8" w14:textId="77777777" w:rsidR="00047EF5" w:rsidRPr="000368E9" w:rsidRDefault="00047EF5" w:rsidP="00CF24BC">
            <w:pPr>
              <w:spacing w:after="120"/>
              <w:rPr>
                <w:bCs/>
                <w:sz w:val="20"/>
              </w:rPr>
            </w:pPr>
            <w:r w:rsidRPr="000368E9">
              <w:rPr>
                <w:bCs/>
                <w:sz w:val="20"/>
              </w:rPr>
              <w:t>Parengti bešeimininkių tvenkinių inventorizavimo ir užtvankų demontavimo programą.</w:t>
            </w:r>
          </w:p>
        </w:tc>
        <w:tc>
          <w:tcPr>
            <w:tcW w:w="1418" w:type="dxa"/>
            <w:shd w:val="clear" w:color="auto" w:fill="FFFFFF" w:themeFill="background1"/>
          </w:tcPr>
          <w:p w14:paraId="5958D375" w14:textId="77777777" w:rsidR="00047EF5" w:rsidRPr="000368E9" w:rsidRDefault="00047EF5" w:rsidP="00CF24BC">
            <w:pPr>
              <w:spacing w:after="120"/>
              <w:jc w:val="both"/>
              <w:rPr>
                <w:sz w:val="20"/>
              </w:rPr>
            </w:pPr>
            <w:r w:rsidRPr="000368E9">
              <w:rPr>
                <w:sz w:val="20"/>
              </w:rPr>
              <w:t>AM</w:t>
            </w:r>
          </w:p>
        </w:tc>
        <w:tc>
          <w:tcPr>
            <w:tcW w:w="4536" w:type="dxa"/>
            <w:vMerge/>
            <w:shd w:val="clear" w:color="auto" w:fill="FFFFFF" w:themeFill="background1"/>
          </w:tcPr>
          <w:p w14:paraId="3FB5103D" w14:textId="77777777" w:rsidR="00047EF5" w:rsidRPr="000368E9" w:rsidRDefault="00047EF5" w:rsidP="00CF24BC">
            <w:pPr>
              <w:spacing w:after="120"/>
              <w:rPr>
                <w:iCs/>
                <w:sz w:val="20"/>
              </w:rPr>
            </w:pPr>
          </w:p>
        </w:tc>
      </w:tr>
      <w:tr w:rsidR="00047EF5" w:rsidRPr="000368E9" w14:paraId="32458033" w14:textId="77777777" w:rsidTr="00CF24BC">
        <w:trPr>
          <w:trHeight w:val="360"/>
        </w:trPr>
        <w:tc>
          <w:tcPr>
            <w:tcW w:w="3681" w:type="dxa"/>
            <w:shd w:val="clear" w:color="auto" w:fill="FFFFFF" w:themeFill="background1"/>
          </w:tcPr>
          <w:p w14:paraId="54D4E8E8" w14:textId="77777777" w:rsidR="00047EF5" w:rsidRPr="000368E9" w:rsidRDefault="00047EF5" w:rsidP="00CF24BC">
            <w:pPr>
              <w:spacing w:after="120"/>
              <w:rPr>
                <w:rFonts w:eastAsia="Arial Unicode MS"/>
                <w:bCs/>
                <w:color w:val="000000"/>
                <w:sz w:val="20"/>
              </w:rPr>
            </w:pPr>
            <w:r w:rsidRPr="000368E9">
              <w:rPr>
                <w:bCs/>
                <w:sz w:val="20"/>
              </w:rPr>
              <w:t>12.4.6. Užtikrinta gyvūnų gerovė ir apsauga.</w:t>
            </w:r>
          </w:p>
        </w:tc>
        <w:tc>
          <w:tcPr>
            <w:tcW w:w="5528" w:type="dxa"/>
            <w:shd w:val="clear" w:color="auto" w:fill="FFFFFF" w:themeFill="background1"/>
          </w:tcPr>
          <w:p w14:paraId="06F7FCFA" w14:textId="77777777" w:rsidR="00047EF5" w:rsidRPr="000368E9" w:rsidRDefault="00047EF5" w:rsidP="00CF24BC">
            <w:pPr>
              <w:spacing w:after="120"/>
              <w:rPr>
                <w:bCs/>
                <w:sz w:val="20"/>
              </w:rPr>
            </w:pPr>
            <w:r w:rsidRPr="000368E9">
              <w:rPr>
                <w:bCs/>
                <w:sz w:val="20"/>
              </w:rPr>
              <w:t>Parengti Gyvūnų gerovės įstatymo pakeitimo projektą.</w:t>
            </w:r>
          </w:p>
        </w:tc>
        <w:tc>
          <w:tcPr>
            <w:tcW w:w="1418" w:type="dxa"/>
            <w:shd w:val="clear" w:color="auto" w:fill="FFFFFF" w:themeFill="background1"/>
          </w:tcPr>
          <w:p w14:paraId="72B0BD7D" w14:textId="77777777" w:rsidR="00047EF5" w:rsidRPr="000368E9" w:rsidRDefault="00047EF5" w:rsidP="00CF24BC">
            <w:pPr>
              <w:spacing w:after="120"/>
              <w:jc w:val="both"/>
              <w:rPr>
                <w:sz w:val="20"/>
              </w:rPr>
            </w:pPr>
            <w:r w:rsidRPr="000368E9">
              <w:rPr>
                <w:sz w:val="20"/>
              </w:rPr>
              <w:t>AM, ŽŪM</w:t>
            </w:r>
          </w:p>
        </w:tc>
        <w:tc>
          <w:tcPr>
            <w:tcW w:w="4536" w:type="dxa"/>
            <w:vMerge/>
            <w:shd w:val="clear" w:color="auto" w:fill="FFFFFF" w:themeFill="background1"/>
          </w:tcPr>
          <w:p w14:paraId="016246DF" w14:textId="77777777" w:rsidR="00047EF5" w:rsidRPr="000368E9" w:rsidRDefault="00047EF5" w:rsidP="00CF24BC">
            <w:pPr>
              <w:spacing w:after="120"/>
              <w:rPr>
                <w:iCs/>
                <w:sz w:val="20"/>
              </w:rPr>
            </w:pPr>
          </w:p>
        </w:tc>
      </w:tr>
    </w:tbl>
    <w:p w14:paraId="2F53FE4B" w14:textId="77777777" w:rsidR="00047EF5" w:rsidRDefault="00047EF5" w:rsidP="00047EF5">
      <w:pPr>
        <w:spacing w:after="120"/>
        <w:rPr>
          <w:sz w:val="20"/>
        </w:rPr>
      </w:pPr>
    </w:p>
    <w:tbl>
      <w:tblPr>
        <w:tblStyle w:val="Lentelstinklelis"/>
        <w:tblW w:w="15163" w:type="dxa"/>
        <w:tblLayout w:type="fixed"/>
        <w:tblLook w:val="04A0" w:firstRow="1" w:lastRow="0" w:firstColumn="1" w:lastColumn="0" w:noHBand="0" w:noVBand="1"/>
      </w:tblPr>
      <w:tblGrid>
        <w:gridCol w:w="2972"/>
        <w:gridCol w:w="284"/>
        <w:gridCol w:w="5953"/>
        <w:gridCol w:w="1134"/>
        <w:gridCol w:w="284"/>
        <w:gridCol w:w="1134"/>
        <w:gridCol w:w="3402"/>
      </w:tblGrid>
      <w:tr w:rsidR="00047EF5" w:rsidRPr="00F83C9B" w14:paraId="33277CF0" w14:textId="77777777" w:rsidTr="00CF24BC">
        <w:trPr>
          <w:trHeight w:val="330"/>
        </w:trPr>
        <w:tc>
          <w:tcPr>
            <w:tcW w:w="15163" w:type="dxa"/>
            <w:gridSpan w:val="7"/>
            <w:shd w:val="clear" w:color="auto" w:fill="2F5496" w:themeFill="accent5" w:themeFillShade="BF"/>
          </w:tcPr>
          <w:p w14:paraId="444F5973" w14:textId="77777777" w:rsidR="00047EF5" w:rsidRPr="00F83C9B" w:rsidRDefault="00047EF5" w:rsidP="00CF24BC">
            <w:pPr>
              <w:jc w:val="center"/>
              <w:rPr>
                <w:b/>
                <w:bCs/>
                <w:iCs/>
                <w:szCs w:val="24"/>
              </w:rPr>
            </w:pPr>
            <w:r w:rsidRPr="00F83C9B">
              <w:rPr>
                <w:rFonts w:eastAsia="Arial Unicode MS"/>
                <w:b/>
                <w:bCs/>
                <w:color w:val="000000"/>
                <w:szCs w:val="24"/>
              </w:rPr>
              <w:t>ŽEMĖS ŪKIS</w:t>
            </w:r>
          </w:p>
        </w:tc>
      </w:tr>
      <w:tr w:rsidR="00047EF5" w:rsidRPr="00F83C9B" w14:paraId="668135FC" w14:textId="77777777" w:rsidTr="00CF24BC">
        <w:trPr>
          <w:trHeight w:val="360"/>
        </w:trPr>
        <w:tc>
          <w:tcPr>
            <w:tcW w:w="3256" w:type="dxa"/>
            <w:gridSpan w:val="2"/>
            <w:shd w:val="clear" w:color="auto" w:fill="D9D9D9" w:themeFill="background1" w:themeFillShade="D9"/>
          </w:tcPr>
          <w:p w14:paraId="0CF0D16B" w14:textId="77777777" w:rsidR="00047EF5" w:rsidRPr="00F83C9B" w:rsidRDefault="00047EF5" w:rsidP="00CF24BC">
            <w:pPr>
              <w:jc w:val="both"/>
              <w:rPr>
                <w:b/>
                <w:bCs/>
                <w:sz w:val="20"/>
              </w:rPr>
            </w:pPr>
            <w:r w:rsidRPr="00F83C9B">
              <w:rPr>
                <w:b/>
                <w:bCs/>
                <w:sz w:val="20"/>
              </w:rPr>
              <w:t>LRV programos prioritetas</w:t>
            </w:r>
          </w:p>
          <w:p w14:paraId="0D9E9B44" w14:textId="77777777" w:rsidR="00047EF5" w:rsidRPr="00F83C9B" w:rsidRDefault="00047EF5" w:rsidP="00CF24BC">
            <w:pPr>
              <w:spacing w:after="120"/>
              <w:rPr>
                <w:rFonts w:eastAsia="Arial Unicode MS"/>
                <w:color w:val="000000"/>
                <w:sz w:val="20"/>
              </w:rPr>
            </w:pPr>
          </w:p>
        </w:tc>
        <w:tc>
          <w:tcPr>
            <w:tcW w:w="5953" w:type="dxa"/>
            <w:shd w:val="clear" w:color="auto" w:fill="D9D9D9" w:themeFill="background1" w:themeFillShade="D9"/>
          </w:tcPr>
          <w:p w14:paraId="18B72552" w14:textId="77777777" w:rsidR="00047EF5" w:rsidRPr="00F83C9B" w:rsidRDefault="00047EF5" w:rsidP="00CF24BC">
            <w:pPr>
              <w:spacing w:after="120"/>
              <w:rPr>
                <w:sz w:val="20"/>
              </w:rPr>
            </w:pPr>
            <w:r w:rsidRPr="00F83C9B">
              <w:rPr>
                <w:b/>
                <w:bCs/>
                <w:sz w:val="20"/>
              </w:rPr>
              <w:t>LSA siūloma priemonė</w:t>
            </w:r>
          </w:p>
        </w:tc>
        <w:tc>
          <w:tcPr>
            <w:tcW w:w="1418" w:type="dxa"/>
            <w:gridSpan w:val="2"/>
            <w:shd w:val="clear" w:color="auto" w:fill="D9D9D9" w:themeFill="background1" w:themeFillShade="D9"/>
          </w:tcPr>
          <w:p w14:paraId="451F754F" w14:textId="77777777" w:rsidR="00047EF5" w:rsidRPr="00F83C9B" w:rsidRDefault="00047EF5" w:rsidP="00CF24BC">
            <w:pPr>
              <w:spacing w:after="120"/>
              <w:jc w:val="both"/>
              <w:rPr>
                <w:sz w:val="20"/>
              </w:rPr>
            </w:pPr>
            <w:r w:rsidRPr="00F83C9B">
              <w:rPr>
                <w:b/>
                <w:bCs/>
                <w:sz w:val="20"/>
              </w:rPr>
              <w:t>Atsakinga institucija</w:t>
            </w:r>
          </w:p>
        </w:tc>
        <w:tc>
          <w:tcPr>
            <w:tcW w:w="4536" w:type="dxa"/>
            <w:gridSpan w:val="2"/>
            <w:shd w:val="clear" w:color="auto" w:fill="D9D9D9" w:themeFill="background1" w:themeFillShade="D9"/>
          </w:tcPr>
          <w:p w14:paraId="62E42C37" w14:textId="77777777" w:rsidR="00047EF5" w:rsidRPr="00F83C9B" w:rsidRDefault="00047EF5" w:rsidP="00CF24BC">
            <w:pPr>
              <w:spacing w:after="120"/>
              <w:rPr>
                <w:iCs/>
                <w:sz w:val="20"/>
              </w:rPr>
            </w:pPr>
            <w:r w:rsidRPr="00F83C9B">
              <w:rPr>
                <w:b/>
                <w:bCs/>
                <w:sz w:val="20"/>
              </w:rPr>
              <w:t>Priemonės sąsaja su NPP tikslais, ET rekomendacijomis Lietuvai, RRF prioritetais</w:t>
            </w:r>
          </w:p>
        </w:tc>
      </w:tr>
      <w:tr w:rsidR="00047EF5" w:rsidRPr="00F83C9B" w14:paraId="37F3EB01" w14:textId="77777777" w:rsidTr="00CF24BC">
        <w:trPr>
          <w:trHeight w:val="360"/>
        </w:trPr>
        <w:tc>
          <w:tcPr>
            <w:tcW w:w="3256" w:type="dxa"/>
            <w:gridSpan w:val="2"/>
            <w:shd w:val="clear" w:color="auto" w:fill="FFFFFF" w:themeFill="background1"/>
          </w:tcPr>
          <w:p w14:paraId="0600F5FE" w14:textId="77777777" w:rsidR="00047EF5" w:rsidRPr="00F83C9B" w:rsidRDefault="00047EF5" w:rsidP="00CF24BC">
            <w:pPr>
              <w:spacing w:after="120"/>
              <w:rPr>
                <w:i/>
                <w:sz w:val="20"/>
              </w:rPr>
            </w:pPr>
            <w:r w:rsidRPr="00F83C9B">
              <w:rPr>
                <w:iCs/>
                <w:sz w:val="20"/>
              </w:rPr>
              <w:t xml:space="preserve">12.2. </w:t>
            </w:r>
            <w:r w:rsidRPr="00F83C9B">
              <w:rPr>
                <w:sz w:val="20"/>
              </w:rPr>
              <w:t>Projektas: tvarūs ir pasiekiami miestai.</w:t>
            </w:r>
          </w:p>
          <w:p w14:paraId="6DE9C4E6" w14:textId="77777777" w:rsidR="00047EF5" w:rsidRPr="00F83C9B" w:rsidRDefault="00047EF5" w:rsidP="00CF24BC">
            <w:pPr>
              <w:spacing w:after="120"/>
              <w:rPr>
                <w:rFonts w:eastAsia="Arial Unicode MS"/>
                <w:color w:val="000000"/>
                <w:sz w:val="20"/>
              </w:rPr>
            </w:pPr>
            <w:r w:rsidRPr="00F83C9B">
              <w:rPr>
                <w:sz w:val="20"/>
              </w:rPr>
              <w:t>12.2.4. Įgalinsime savivaldą kurti gyvenimui patogius miestus ir miestelius.</w:t>
            </w:r>
          </w:p>
        </w:tc>
        <w:tc>
          <w:tcPr>
            <w:tcW w:w="5953" w:type="dxa"/>
            <w:shd w:val="clear" w:color="auto" w:fill="FFFFFF" w:themeFill="background1"/>
          </w:tcPr>
          <w:p w14:paraId="3C338B2A" w14:textId="77777777" w:rsidR="00047EF5" w:rsidRPr="00F83C9B" w:rsidRDefault="00047EF5" w:rsidP="00CF24BC">
            <w:pPr>
              <w:spacing w:after="120"/>
              <w:rPr>
                <w:sz w:val="20"/>
              </w:rPr>
            </w:pPr>
            <w:r w:rsidRPr="00F83C9B">
              <w:rPr>
                <w:sz w:val="20"/>
              </w:rPr>
              <w:t>1. Parengti Žemės įstatymo pakeitimo projektą ir kitų lydinčių įstatymų projektus, kuriais Nacionalinės žemės tarnybos valstybinės žemės disponavimo funkcijos miestų ir miestelių teritorijose būtų perduotos savivaldybėms.</w:t>
            </w:r>
          </w:p>
          <w:p w14:paraId="206E9B68" w14:textId="77777777" w:rsidR="00047EF5" w:rsidRPr="00F83C9B" w:rsidRDefault="00047EF5" w:rsidP="00CF24BC">
            <w:pPr>
              <w:spacing w:after="120"/>
              <w:rPr>
                <w:sz w:val="20"/>
              </w:rPr>
            </w:pPr>
            <w:r w:rsidRPr="00F83C9B">
              <w:rPr>
                <w:sz w:val="20"/>
              </w:rPr>
              <w:t>2. Parengti laisvos valstybinės žemės miestuose tvarkymo programą.</w:t>
            </w:r>
          </w:p>
        </w:tc>
        <w:tc>
          <w:tcPr>
            <w:tcW w:w="1418" w:type="dxa"/>
            <w:gridSpan w:val="2"/>
            <w:shd w:val="clear" w:color="auto" w:fill="FFFFFF" w:themeFill="background1"/>
          </w:tcPr>
          <w:p w14:paraId="4E4CB3C1" w14:textId="77777777" w:rsidR="00047EF5" w:rsidRPr="00F83C9B" w:rsidRDefault="00047EF5" w:rsidP="00CF24BC">
            <w:pPr>
              <w:spacing w:after="120"/>
              <w:jc w:val="both"/>
              <w:rPr>
                <w:sz w:val="20"/>
              </w:rPr>
            </w:pPr>
            <w:r w:rsidRPr="00F83C9B">
              <w:rPr>
                <w:sz w:val="20"/>
              </w:rPr>
              <w:t>ŽŪM, AM</w:t>
            </w:r>
          </w:p>
        </w:tc>
        <w:tc>
          <w:tcPr>
            <w:tcW w:w="4536" w:type="dxa"/>
            <w:gridSpan w:val="2"/>
            <w:vMerge w:val="restart"/>
            <w:shd w:val="clear" w:color="auto" w:fill="FFFFFF" w:themeFill="background1"/>
          </w:tcPr>
          <w:p w14:paraId="6F98DE2F" w14:textId="77777777" w:rsidR="00047EF5" w:rsidRPr="00F83C9B" w:rsidRDefault="00047EF5" w:rsidP="00CF24BC">
            <w:pPr>
              <w:spacing w:after="120"/>
              <w:rPr>
                <w:b/>
                <w:sz w:val="20"/>
              </w:rPr>
            </w:pPr>
            <w:r w:rsidRPr="00F83C9B">
              <w:rPr>
                <w:b/>
                <w:bCs/>
                <w:sz w:val="20"/>
              </w:rPr>
              <w:t>Atitinka</w:t>
            </w:r>
            <w:r w:rsidRPr="00F83C9B">
              <w:rPr>
                <w:sz w:val="20"/>
              </w:rPr>
              <w:t xml:space="preserve"> net kelis NPP tikslus, iš kurių labiausiai:</w:t>
            </w:r>
          </w:p>
          <w:p w14:paraId="5690A091" w14:textId="77777777" w:rsidR="00047EF5" w:rsidRPr="00F83C9B" w:rsidRDefault="00047EF5" w:rsidP="00CF24BC">
            <w:pPr>
              <w:spacing w:after="120"/>
              <w:rPr>
                <w:b/>
                <w:sz w:val="20"/>
              </w:rPr>
            </w:pPr>
            <w:r w:rsidRPr="00F83C9B">
              <w:rPr>
                <w:b/>
                <w:sz w:val="20"/>
              </w:rPr>
              <w:t>NPP 7 strateginis tikslas.</w:t>
            </w:r>
            <w:r w:rsidRPr="00F83C9B">
              <w:rPr>
                <w:sz w:val="20"/>
              </w:rPr>
              <w:t xml:space="preserve"> Tvariai ir subalansuotai vystyti Lietuvos teritoriją ir mažinti regioninę atskirtį</w:t>
            </w:r>
            <w:r w:rsidRPr="00F83C9B">
              <w:rPr>
                <w:b/>
                <w:sz w:val="20"/>
              </w:rPr>
              <w:t>.</w:t>
            </w:r>
          </w:p>
          <w:p w14:paraId="056CBF4F" w14:textId="77777777" w:rsidR="00047EF5" w:rsidRPr="00F83C9B" w:rsidRDefault="00047EF5" w:rsidP="00CF24BC">
            <w:pPr>
              <w:spacing w:after="120"/>
              <w:rPr>
                <w:b/>
                <w:sz w:val="20"/>
              </w:rPr>
            </w:pPr>
            <w:r w:rsidRPr="00F83C9B">
              <w:rPr>
                <w:b/>
                <w:sz w:val="20"/>
              </w:rPr>
              <w:t xml:space="preserve">Atitinka </w:t>
            </w:r>
            <w:r w:rsidRPr="00F83C9B">
              <w:rPr>
                <w:bCs/>
                <w:sz w:val="20"/>
              </w:rPr>
              <w:t xml:space="preserve">net kelias RRF taikymo sritis, iš kurių labiausiai: </w:t>
            </w:r>
            <w:r w:rsidRPr="00F83C9B">
              <w:rPr>
                <w:b/>
                <w:sz w:val="20"/>
              </w:rPr>
              <w:t>žalioji ir skaitmeninė pertvarka, ekonominė, socialinė ir teritorinė sanglauda.</w:t>
            </w:r>
          </w:p>
        </w:tc>
      </w:tr>
      <w:tr w:rsidR="00047EF5" w:rsidRPr="00F83C9B" w14:paraId="3A5BFF61" w14:textId="77777777" w:rsidTr="00CF24BC">
        <w:trPr>
          <w:trHeight w:val="360"/>
        </w:trPr>
        <w:tc>
          <w:tcPr>
            <w:tcW w:w="3256" w:type="dxa"/>
            <w:gridSpan w:val="2"/>
            <w:shd w:val="clear" w:color="auto" w:fill="FFFFFF" w:themeFill="background1"/>
          </w:tcPr>
          <w:p w14:paraId="238B4CC6" w14:textId="77777777" w:rsidR="00047EF5" w:rsidRPr="00F83C9B" w:rsidRDefault="00047EF5" w:rsidP="00CF24BC">
            <w:pPr>
              <w:spacing w:after="120"/>
              <w:rPr>
                <w:sz w:val="20"/>
              </w:rPr>
            </w:pPr>
            <w:r w:rsidRPr="00F83C9B">
              <w:rPr>
                <w:iCs/>
                <w:sz w:val="20"/>
              </w:rPr>
              <w:t xml:space="preserve">14.2. </w:t>
            </w:r>
            <w:r w:rsidRPr="00F83C9B">
              <w:rPr>
                <w:sz w:val="20"/>
              </w:rPr>
              <w:t>Projektas: savivaldybių ekonominio savarankiškumo stiprinimas.</w:t>
            </w:r>
          </w:p>
        </w:tc>
        <w:tc>
          <w:tcPr>
            <w:tcW w:w="5953" w:type="dxa"/>
            <w:shd w:val="clear" w:color="auto" w:fill="FFFFFF" w:themeFill="background1"/>
          </w:tcPr>
          <w:p w14:paraId="320CFF61" w14:textId="77777777" w:rsidR="00047EF5" w:rsidRPr="00F83C9B" w:rsidRDefault="00047EF5" w:rsidP="00CF24BC">
            <w:pPr>
              <w:spacing w:after="120"/>
              <w:rPr>
                <w:sz w:val="20"/>
              </w:rPr>
            </w:pPr>
            <w:r w:rsidRPr="00F83C9B">
              <w:rPr>
                <w:sz w:val="20"/>
              </w:rPr>
              <w:t>Peržiūrėti žemės ūkio funkcijų finansavimo tvarką, užtikrinant šimtaprocentinį funkcijų finansavimą ir leidžiant savivaldybėms disponuoti nepanaudotomis tikslinėmis lėšomis.</w:t>
            </w:r>
          </w:p>
        </w:tc>
        <w:tc>
          <w:tcPr>
            <w:tcW w:w="1418" w:type="dxa"/>
            <w:gridSpan w:val="2"/>
            <w:shd w:val="clear" w:color="auto" w:fill="FFFFFF" w:themeFill="background1"/>
          </w:tcPr>
          <w:p w14:paraId="37ADEF9A" w14:textId="77777777" w:rsidR="00047EF5" w:rsidRPr="00F83C9B" w:rsidRDefault="00047EF5" w:rsidP="00CF24BC">
            <w:pPr>
              <w:spacing w:after="120"/>
              <w:jc w:val="both"/>
              <w:rPr>
                <w:sz w:val="20"/>
              </w:rPr>
            </w:pPr>
            <w:r w:rsidRPr="00F83C9B">
              <w:rPr>
                <w:sz w:val="20"/>
              </w:rPr>
              <w:t>ŽŪM, FM</w:t>
            </w:r>
          </w:p>
        </w:tc>
        <w:tc>
          <w:tcPr>
            <w:tcW w:w="4536" w:type="dxa"/>
            <w:gridSpan w:val="2"/>
            <w:vMerge/>
            <w:shd w:val="clear" w:color="auto" w:fill="FFFFFF" w:themeFill="background1"/>
          </w:tcPr>
          <w:p w14:paraId="26CDA5BD" w14:textId="77777777" w:rsidR="00047EF5" w:rsidRPr="00F83C9B" w:rsidRDefault="00047EF5" w:rsidP="00CF24BC">
            <w:pPr>
              <w:spacing w:after="120"/>
              <w:rPr>
                <w:iCs/>
                <w:sz w:val="20"/>
              </w:rPr>
            </w:pPr>
          </w:p>
        </w:tc>
      </w:tr>
      <w:tr w:rsidR="00047EF5" w:rsidRPr="00F83C9B" w14:paraId="4A72F427" w14:textId="77777777" w:rsidTr="00CF24BC">
        <w:trPr>
          <w:trHeight w:val="360"/>
        </w:trPr>
        <w:tc>
          <w:tcPr>
            <w:tcW w:w="3256" w:type="dxa"/>
            <w:gridSpan w:val="2"/>
            <w:shd w:val="clear" w:color="auto" w:fill="FFFFFF" w:themeFill="background1"/>
          </w:tcPr>
          <w:p w14:paraId="7660FD28" w14:textId="77777777" w:rsidR="00047EF5" w:rsidRPr="00F83C9B" w:rsidRDefault="00047EF5" w:rsidP="00CF24BC">
            <w:pPr>
              <w:spacing w:after="120"/>
              <w:rPr>
                <w:sz w:val="20"/>
              </w:rPr>
            </w:pPr>
            <w:r w:rsidRPr="00F83C9B">
              <w:rPr>
                <w:iCs/>
                <w:sz w:val="20"/>
              </w:rPr>
              <w:t xml:space="preserve">14.3. </w:t>
            </w:r>
            <w:r w:rsidRPr="00F83C9B">
              <w:rPr>
                <w:sz w:val="20"/>
              </w:rPr>
              <w:t xml:space="preserve">Projektas: gyvybingas kaimas </w:t>
            </w:r>
          </w:p>
          <w:p w14:paraId="01DCEE55" w14:textId="77777777" w:rsidR="00047EF5" w:rsidRPr="00F83C9B" w:rsidRDefault="00047EF5" w:rsidP="00CF24BC">
            <w:pPr>
              <w:spacing w:after="120"/>
              <w:rPr>
                <w:rFonts w:eastAsia="Arial Unicode MS"/>
                <w:color w:val="000000"/>
                <w:sz w:val="20"/>
              </w:rPr>
            </w:pPr>
            <w:r w:rsidRPr="00F83C9B">
              <w:rPr>
                <w:sz w:val="20"/>
              </w:rPr>
              <w:t>14.3.4. Skaitmeninimas.</w:t>
            </w:r>
          </w:p>
        </w:tc>
        <w:tc>
          <w:tcPr>
            <w:tcW w:w="5953" w:type="dxa"/>
            <w:shd w:val="clear" w:color="auto" w:fill="FFFFFF" w:themeFill="background1"/>
          </w:tcPr>
          <w:p w14:paraId="13AFDDAA" w14:textId="77777777" w:rsidR="00047EF5" w:rsidRPr="00F83C9B" w:rsidRDefault="00047EF5" w:rsidP="00CF24BC">
            <w:pPr>
              <w:spacing w:after="120"/>
              <w:rPr>
                <w:sz w:val="20"/>
              </w:rPr>
            </w:pPr>
            <w:r w:rsidRPr="00F83C9B">
              <w:rPr>
                <w:sz w:val="20"/>
              </w:rPr>
              <w:t>Tobulinti ir optimizuoti pasėlių ir žemės naudmenų deklaravimo sistemą, mažinant administracinę naštą, tenkančią tiek įstaigoms, tiek ūkininkams.</w:t>
            </w:r>
          </w:p>
        </w:tc>
        <w:tc>
          <w:tcPr>
            <w:tcW w:w="1418" w:type="dxa"/>
            <w:gridSpan w:val="2"/>
            <w:shd w:val="clear" w:color="auto" w:fill="FFFFFF" w:themeFill="background1"/>
          </w:tcPr>
          <w:p w14:paraId="5CD791BC" w14:textId="77777777" w:rsidR="00047EF5" w:rsidRPr="00F83C9B" w:rsidRDefault="00047EF5" w:rsidP="00CF24BC">
            <w:pPr>
              <w:spacing w:after="120"/>
              <w:jc w:val="both"/>
              <w:rPr>
                <w:sz w:val="20"/>
              </w:rPr>
            </w:pPr>
            <w:r w:rsidRPr="00F83C9B">
              <w:rPr>
                <w:sz w:val="20"/>
              </w:rPr>
              <w:t>ŽŪM</w:t>
            </w:r>
          </w:p>
        </w:tc>
        <w:tc>
          <w:tcPr>
            <w:tcW w:w="4536" w:type="dxa"/>
            <w:gridSpan w:val="2"/>
            <w:vMerge/>
            <w:shd w:val="clear" w:color="auto" w:fill="FFFFFF" w:themeFill="background1"/>
          </w:tcPr>
          <w:p w14:paraId="54FEB502" w14:textId="77777777" w:rsidR="00047EF5" w:rsidRPr="00F83C9B" w:rsidRDefault="00047EF5" w:rsidP="00CF24BC">
            <w:pPr>
              <w:spacing w:after="120"/>
              <w:rPr>
                <w:iCs/>
                <w:sz w:val="20"/>
              </w:rPr>
            </w:pPr>
          </w:p>
        </w:tc>
      </w:tr>
      <w:tr w:rsidR="005C389B" w:rsidRPr="00EF477E" w14:paraId="0765D498" w14:textId="77777777" w:rsidTr="004905E2">
        <w:trPr>
          <w:trHeight w:val="168"/>
        </w:trPr>
        <w:tc>
          <w:tcPr>
            <w:tcW w:w="15163" w:type="dxa"/>
            <w:gridSpan w:val="7"/>
            <w:shd w:val="clear" w:color="auto" w:fill="FF0000"/>
          </w:tcPr>
          <w:p w14:paraId="2F9522D3" w14:textId="77777777" w:rsidR="005C389B" w:rsidRPr="00EF477E" w:rsidRDefault="005C389B" w:rsidP="004905E2">
            <w:pPr>
              <w:jc w:val="center"/>
              <w:rPr>
                <w:b/>
                <w:bCs/>
                <w:iCs/>
                <w:szCs w:val="24"/>
              </w:rPr>
            </w:pPr>
            <w:r w:rsidRPr="00EF477E">
              <w:rPr>
                <w:rFonts w:eastAsia="Arial Unicode MS"/>
                <w:b/>
                <w:bCs/>
                <w:color w:val="000000"/>
                <w:szCs w:val="24"/>
              </w:rPr>
              <w:lastRenderedPageBreak/>
              <w:t>SAVIVALDYBIŲ FINANSAI</w:t>
            </w:r>
          </w:p>
        </w:tc>
      </w:tr>
      <w:tr w:rsidR="005C389B" w14:paraId="5985FAE0" w14:textId="77777777" w:rsidTr="004905E2">
        <w:trPr>
          <w:trHeight w:val="360"/>
        </w:trPr>
        <w:tc>
          <w:tcPr>
            <w:tcW w:w="2972" w:type="dxa"/>
            <w:shd w:val="clear" w:color="auto" w:fill="D9D9D9" w:themeFill="background1" w:themeFillShade="D9"/>
          </w:tcPr>
          <w:p w14:paraId="689979D2" w14:textId="77777777" w:rsidR="005C389B" w:rsidRDefault="005C389B" w:rsidP="004905E2">
            <w:pPr>
              <w:jc w:val="both"/>
              <w:rPr>
                <w:b/>
                <w:bCs/>
                <w:sz w:val="20"/>
              </w:rPr>
            </w:pPr>
            <w:r w:rsidRPr="00806533">
              <w:rPr>
                <w:b/>
                <w:bCs/>
                <w:sz w:val="20"/>
              </w:rPr>
              <w:t>LRV programos prioritetas</w:t>
            </w:r>
          </w:p>
          <w:p w14:paraId="62E36CBE" w14:textId="77777777" w:rsidR="005C389B" w:rsidRPr="0051644F" w:rsidRDefault="005C389B" w:rsidP="004905E2">
            <w:pPr>
              <w:spacing w:after="120"/>
              <w:rPr>
                <w:rFonts w:eastAsia="Arial Unicode MS"/>
                <w:color w:val="000000"/>
                <w:sz w:val="20"/>
              </w:rPr>
            </w:pPr>
          </w:p>
        </w:tc>
        <w:tc>
          <w:tcPr>
            <w:tcW w:w="7371" w:type="dxa"/>
            <w:gridSpan w:val="3"/>
            <w:shd w:val="clear" w:color="auto" w:fill="D9D9D9" w:themeFill="background1" w:themeFillShade="D9"/>
          </w:tcPr>
          <w:p w14:paraId="49CF8DBD" w14:textId="77777777" w:rsidR="005C389B" w:rsidRPr="0051644F" w:rsidRDefault="005C389B" w:rsidP="004905E2">
            <w:pPr>
              <w:spacing w:after="120"/>
              <w:rPr>
                <w:sz w:val="20"/>
              </w:rPr>
            </w:pPr>
            <w:r w:rsidRPr="00806533">
              <w:rPr>
                <w:b/>
                <w:bCs/>
                <w:sz w:val="20"/>
              </w:rPr>
              <w:t>LSA siūloma priemonė</w:t>
            </w:r>
          </w:p>
        </w:tc>
        <w:tc>
          <w:tcPr>
            <w:tcW w:w="1418" w:type="dxa"/>
            <w:gridSpan w:val="2"/>
            <w:shd w:val="clear" w:color="auto" w:fill="D9D9D9" w:themeFill="background1" w:themeFillShade="D9"/>
          </w:tcPr>
          <w:p w14:paraId="3A7D67E6" w14:textId="77777777" w:rsidR="005C389B" w:rsidRDefault="005C389B" w:rsidP="004905E2">
            <w:pPr>
              <w:spacing w:after="120"/>
              <w:jc w:val="both"/>
              <w:rPr>
                <w:sz w:val="20"/>
              </w:rPr>
            </w:pPr>
            <w:r>
              <w:rPr>
                <w:b/>
                <w:bCs/>
                <w:sz w:val="20"/>
              </w:rPr>
              <w:t>Atsakinga institucija</w:t>
            </w:r>
          </w:p>
        </w:tc>
        <w:tc>
          <w:tcPr>
            <w:tcW w:w="3402" w:type="dxa"/>
            <w:shd w:val="clear" w:color="auto" w:fill="D9D9D9" w:themeFill="background1" w:themeFillShade="D9"/>
          </w:tcPr>
          <w:p w14:paraId="7807AD08" w14:textId="77777777" w:rsidR="005C389B" w:rsidRDefault="005C389B" w:rsidP="004905E2">
            <w:pPr>
              <w:spacing w:after="120"/>
              <w:rPr>
                <w:iCs/>
                <w:sz w:val="20"/>
              </w:rPr>
            </w:pPr>
            <w:r w:rsidRPr="00806533">
              <w:rPr>
                <w:b/>
                <w:bCs/>
                <w:sz w:val="20"/>
              </w:rPr>
              <w:t>Priemonės sąsaja su</w:t>
            </w:r>
            <w:r>
              <w:rPr>
                <w:b/>
                <w:bCs/>
                <w:sz w:val="20"/>
              </w:rPr>
              <w:t xml:space="preserve"> NPP tikslais</w:t>
            </w:r>
            <w:r w:rsidRPr="00806533">
              <w:rPr>
                <w:b/>
                <w:bCs/>
                <w:sz w:val="20"/>
              </w:rPr>
              <w:t>, E</w:t>
            </w:r>
            <w:r>
              <w:rPr>
                <w:b/>
                <w:bCs/>
                <w:sz w:val="20"/>
              </w:rPr>
              <w:t>T</w:t>
            </w:r>
            <w:r w:rsidRPr="00806533">
              <w:rPr>
                <w:b/>
                <w:bCs/>
                <w:sz w:val="20"/>
              </w:rPr>
              <w:t xml:space="preserve"> rekomendacijom</w:t>
            </w:r>
            <w:r>
              <w:rPr>
                <w:b/>
                <w:bCs/>
                <w:sz w:val="20"/>
              </w:rPr>
              <w:t>is Lietuvai</w:t>
            </w:r>
            <w:r w:rsidRPr="00806533">
              <w:rPr>
                <w:b/>
                <w:bCs/>
                <w:sz w:val="20"/>
              </w:rPr>
              <w:t>, RRF prioritetais</w:t>
            </w:r>
          </w:p>
        </w:tc>
      </w:tr>
      <w:tr w:rsidR="005C389B" w14:paraId="5B7F2308" w14:textId="77777777" w:rsidTr="004905E2">
        <w:trPr>
          <w:trHeight w:val="360"/>
        </w:trPr>
        <w:tc>
          <w:tcPr>
            <w:tcW w:w="2972" w:type="dxa"/>
            <w:shd w:val="clear" w:color="auto" w:fill="FFFFFF" w:themeFill="background1"/>
          </w:tcPr>
          <w:p w14:paraId="03F63DAB" w14:textId="77777777" w:rsidR="005C389B" w:rsidRPr="008667B7" w:rsidRDefault="005C389B" w:rsidP="004905E2">
            <w:pPr>
              <w:spacing w:after="120"/>
              <w:rPr>
                <w:sz w:val="20"/>
              </w:rPr>
            </w:pPr>
            <w:r w:rsidRPr="008667B7">
              <w:rPr>
                <w:sz w:val="20"/>
              </w:rPr>
              <w:t>14.2. Projektas: savivaldybių ekonominio savarankiškumo stiprinimas.</w:t>
            </w:r>
          </w:p>
          <w:p w14:paraId="3361F0EE" w14:textId="77777777" w:rsidR="005C389B" w:rsidRDefault="005C389B" w:rsidP="004905E2">
            <w:pPr>
              <w:spacing w:after="120"/>
              <w:rPr>
                <w:sz w:val="20"/>
              </w:rPr>
            </w:pPr>
            <w:r w:rsidRPr="008667B7">
              <w:rPr>
                <w:sz w:val="20"/>
              </w:rPr>
              <w:t>14.2.1. Savivaldybių investicinio pajėgumo didinimas.</w:t>
            </w:r>
          </w:p>
          <w:p w14:paraId="18A877E1" w14:textId="1B9B5D35" w:rsidR="000F3435" w:rsidRPr="008667B7" w:rsidRDefault="000F3435" w:rsidP="004905E2">
            <w:pPr>
              <w:spacing w:after="120"/>
              <w:rPr>
                <w:rFonts w:eastAsia="Arial Unicode MS"/>
                <w:color w:val="000000"/>
                <w:sz w:val="20"/>
              </w:rPr>
            </w:pPr>
            <w:r w:rsidRPr="000F3435">
              <w:rPr>
                <w:rFonts w:eastAsia="Arial Unicode MS"/>
                <w:color w:val="000000"/>
                <w:sz w:val="20"/>
              </w:rPr>
              <w:t>20.2.3. Savivaldybių finansinio savarankiškumo didinimas.</w:t>
            </w:r>
          </w:p>
        </w:tc>
        <w:tc>
          <w:tcPr>
            <w:tcW w:w="7371" w:type="dxa"/>
            <w:gridSpan w:val="3"/>
            <w:shd w:val="clear" w:color="auto" w:fill="FFFFFF" w:themeFill="background1"/>
          </w:tcPr>
          <w:p w14:paraId="120BB368" w14:textId="77777777" w:rsidR="005C389B" w:rsidRPr="00F8301A" w:rsidRDefault="005C389B" w:rsidP="004905E2">
            <w:pPr>
              <w:spacing w:after="120"/>
              <w:rPr>
                <w:sz w:val="20"/>
              </w:rPr>
            </w:pPr>
            <w:r>
              <w:rPr>
                <w:sz w:val="20"/>
              </w:rPr>
              <w:t>Įgyvendinti s</w:t>
            </w:r>
            <w:r w:rsidRPr="00F8301A">
              <w:rPr>
                <w:sz w:val="20"/>
              </w:rPr>
              <w:t>avivaldybių finansų sistemos reform</w:t>
            </w:r>
            <w:r>
              <w:rPr>
                <w:sz w:val="20"/>
              </w:rPr>
              <w:t>ą.</w:t>
            </w:r>
          </w:p>
          <w:p w14:paraId="65EE46E4" w14:textId="77777777" w:rsidR="005C389B" w:rsidRPr="00F8301A" w:rsidRDefault="005C389B" w:rsidP="004905E2">
            <w:pPr>
              <w:spacing w:after="120"/>
              <w:rPr>
                <w:sz w:val="20"/>
              </w:rPr>
            </w:pPr>
            <w:r>
              <w:rPr>
                <w:sz w:val="20"/>
              </w:rPr>
              <w:t xml:space="preserve">Savivaldybių biudžetams priskirti naujus </w:t>
            </w:r>
            <w:r w:rsidRPr="00F8301A">
              <w:rPr>
                <w:sz w:val="20"/>
              </w:rPr>
              <w:t>pajamų šaltini</w:t>
            </w:r>
            <w:r>
              <w:rPr>
                <w:sz w:val="20"/>
              </w:rPr>
              <w:t>us</w:t>
            </w:r>
            <w:r w:rsidRPr="00F8301A">
              <w:rPr>
                <w:sz w:val="20"/>
              </w:rPr>
              <w:t xml:space="preserve"> </w:t>
            </w:r>
            <w:r>
              <w:rPr>
                <w:sz w:val="20"/>
              </w:rPr>
              <w:t xml:space="preserve">ir/ ar </w:t>
            </w:r>
            <w:r w:rsidRPr="00F8301A">
              <w:rPr>
                <w:sz w:val="20"/>
              </w:rPr>
              <w:t>prapl</w:t>
            </w:r>
            <w:r>
              <w:rPr>
                <w:sz w:val="20"/>
              </w:rPr>
              <w:t>ėsti</w:t>
            </w:r>
            <w:r w:rsidRPr="00F8301A">
              <w:rPr>
                <w:sz w:val="20"/>
              </w:rPr>
              <w:t xml:space="preserve"> esamų šaltinių mokestinę bazę:</w:t>
            </w:r>
          </w:p>
          <w:p w14:paraId="012275D1" w14:textId="77777777" w:rsidR="005C389B" w:rsidRPr="002F0A94" w:rsidRDefault="005C389B" w:rsidP="004905E2">
            <w:pPr>
              <w:spacing w:after="120"/>
              <w:rPr>
                <w:sz w:val="20"/>
              </w:rPr>
            </w:pPr>
            <w:r w:rsidRPr="002F0A94">
              <w:rPr>
                <w:sz w:val="20"/>
              </w:rPr>
              <w:t>1.</w:t>
            </w:r>
            <w:r>
              <w:rPr>
                <w:sz w:val="20"/>
              </w:rPr>
              <w:t xml:space="preserve"> </w:t>
            </w:r>
            <w:r w:rsidRPr="002F0A94">
              <w:rPr>
                <w:sz w:val="20"/>
              </w:rPr>
              <w:t xml:space="preserve">Visas pajamas iš nekilnojamojo turto mokesčio įskaityti į savivaldybių biudžetus. </w:t>
            </w:r>
          </w:p>
          <w:p w14:paraId="220E965D" w14:textId="77777777" w:rsidR="005C389B" w:rsidRPr="002F0A94" w:rsidRDefault="005C389B" w:rsidP="004905E2">
            <w:pPr>
              <w:spacing w:after="120"/>
              <w:rPr>
                <w:sz w:val="20"/>
              </w:rPr>
            </w:pPr>
            <w:r w:rsidRPr="002F0A94">
              <w:rPr>
                <w:sz w:val="20"/>
              </w:rPr>
              <w:t xml:space="preserve">2. Savivaldybių biudžetams priskirti pajamas iš motorinių transporto priemonių registracijos mokesčio. </w:t>
            </w:r>
          </w:p>
          <w:p w14:paraId="24AB338C" w14:textId="77777777" w:rsidR="005C389B" w:rsidRPr="008667B7" w:rsidRDefault="005C389B" w:rsidP="004905E2">
            <w:pPr>
              <w:spacing w:after="120"/>
              <w:rPr>
                <w:sz w:val="20"/>
              </w:rPr>
            </w:pPr>
            <w:r w:rsidRPr="002F0A94">
              <w:rPr>
                <w:sz w:val="20"/>
              </w:rPr>
              <w:t>3. Dalį pridėtinės vertės mokesčio ir/</w:t>
            </w:r>
            <w:r>
              <w:rPr>
                <w:sz w:val="20"/>
              </w:rPr>
              <w:t xml:space="preserve"> </w:t>
            </w:r>
            <w:r w:rsidRPr="002F0A94">
              <w:rPr>
                <w:sz w:val="20"/>
              </w:rPr>
              <w:t>ar pelno mokesčio įskaityti į savivaldybių biudžetus.</w:t>
            </w:r>
          </w:p>
        </w:tc>
        <w:tc>
          <w:tcPr>
            <w:tcW w:w="1418" w:type="dxa"/>
            <w:gridSpan w:val="2"/>
            <w:shd w:val="clear" w:color="auto" w:fill="FFFFFF" w:themeFill="background1"/>
          </w:tcPr>
          <w:p w14:paraId="56E544F5" w14:textId="77777777" w:rsidR="005C389B" w:rsidRDefault="005C389B" w:rsidP="004905E2">
            <w:pPr>
              <w:spacing w:after="120"/>
              <w:jc w:val="both"/>
              <w:rPr>
                <w:sz w:val="20"/>
              </w:rPr>
            </w:pPr>
            <w:r>
              <w:rPr>
                <w:sz w:val="20"/>
              </w:rPr>
              <w:t>FM</w:t>
            </w:r>
          </w:p>
        </w:tc>
        <w:tc>
          <w:tcPr>
            <w:tcW w:w="3402" w:type="dxa"/>
            <w:vMerge w:val="restart"/>
            <w:shd w:val="clear" w:color="auto" w:fill="FFFFFF" w:themeFill="background1"/>
          </w:tcPr>
          <w:p w14:paraId="34934AF3" w14:textId="77777777" w:rsidR="005C389B" w:rsidRPr="00F811F8" w:rsidRDefault="005C389B" w:rsidP="004905E2">
            <w:pPr>
              <w:spacing w:after="120"/>
              <w:rPr>
                <w:b/>
                <w:bCs/>
                <w:sz w:val="20"/>
              </w:rPr>
            </w:pPr>
            <w:r w:rsidRPr="00F811F8">
              <w:rPr>
                <w:b/>
                <w:bCs/>
                <w:sz w:val="20"/>
              </w:rPr>
              <w:t>Atitinka net kelis NPP tikslus, iš kurių labiausiai:</w:t>
            </w:r>
          </w:p>
          <w:p w14:paraId="11AF29A4" w14:textId="77777777" w:rsidR="005C389B" w:rsidRDefault="005C389B" w:rsidP="004905E2">
            <w:pPr>
              <w:spacing w:after="120"/>
              <w:rPr>
                <w:b/>
                <w:sz w:val="20"/>
              </w:rPr>
            </w:pPr>
            <w:r w:rsidRPr="00CF5255">
              <w:rPr>
                <w:b/>
                <w:sz w:val="20"/>
              </w:rPr>
              <w:t>NPP 7 strateginis tikslas.</w:t>
            </w:r>
            <w:r w:rsidRPr="00A661B6">
              <w:rPr>
                <w:sz w:val="20"/>
              </w:rPr>
              <w:t xml:space="preserve"> Tvariai </w:t>
            </w:r>
            <w:r w:rsidRPr="003A1D04">
              <w:rPr>
                <w:sz w:val="20"/>
              </w:rPr>
              <w:t>ir subalansuotai vystyti Lietuvos teritoriją ir mažinti regioninę atskirtį</w:t>
            </w:r>
            <w:r>
              <w:rPr>
                <w:b/>
                <w:sz w:val="20"/>
              </w:rPr>
              <w:t>.</w:t>
            </w:r>
          </w:p>
          <w:p w14:paraId="07DD387F" w14:textId="77777777" w:rsidR="005C389B" w:rsidRDefault="005C389B" w:rsidP="004905E2">
            <w:pPr>
              <w:spacing w:after="120"/>
              <w:rPr>
                <w:b/>
                <w:sz w:val="20"/>
              </w:rPr>
            </w:pPr>
            <w:r>
              <w:rPr>
                <w:b/>
                <w:sz w:val="20"/>
              </w:rPr>
              <w:t>Atitinka net kelias ET rekomendacijas Lietuvai:</w:t>
            </w:r>
          </w:p>
          <w:p w14:paraId="4CCD114A" w14:textId="77777777" w:rsidR="005C389B" w:rsidRPr="004F5785" w:rsidRDefault="005C389B" w:rsidP="004905E2">
            <w:pPr>
              <w:spacing w:after="120"/>
              <w:rPr>
                <w:bCs/>
                <w:sz w:val="20"/>
              </w:rPr>
            </w:pPr>
            <w:r>
              <w:rPr>
                <w:b/>
                <w:sz w:val="20"/>
              </w:rPr>
              <w:t>ET 1 rekomendacija (</w:t>
            </w:r>
            <w:r>
              <w:rPr>
                <w:b/>
                <w:sz w:val="20"/>
                <w:lang w:val="en-US"/>
              </w:rPr>
              <w:t>2019)</w:t>
            </w:r>
            <w:r>
              <w:rPr>
                <w:b/>
                <w:sz w:val="20"/>
              </w:rPr>
              <w:t xml:space="preserve">. </w:t>
            </w:r>
            <w:r>
              <w:rPr>
                <w:bCs/>
                <w:sz w:val="20"/>
              </w:rPr>
              <w:t xml:space="preserve">Gerinti mokestinių prievolių vykdymą </w:t>
            </w:r>
            <w:r w:rsidRPr="004F5785">
              <w:rPr>
                <w:bCs/>
                <w:sz w:val="20"/>
              </w:rPr>
              <w:t>ir plėsti mokesčių bazę, pereinant prie</w:t>
            </w:r>
            <w:r>
              <w:rPr>
                <w:bCs/>
                <w:sz w:val="20"/>
              </w:rPr>
              <w:t xml:space="preserve"> </w:t>
            </w:r>
            <w:r w:rsidRPr="004F5785">
              <w:rPr>
                <w:bCs/>
                <w:sz w:val="20"/>
              </w:rPr>
              <w:t>šaltinių, kurių apmokestinimas mažiau</w:t>
            </w:r>
            <w:r>
              <w:rPr>
                <w:bCs/>
                <w:sz w:val="20"/>
              </w:rPr>
              <w:t xml:space="preserve"> </w:t>
            </w:r>
            <w:r w:rsidRPr="004F5785">
              <w:rPr>
                <w:bCs/>
                <w:sz w:val="20"/>
              </w:rPr>
              <w:t>kenkia</w:t>
            </w:r>
            <w:r>
              <w:rPr>
                <w:bCs/>
                <w:sz w:val="20"/>
              </w:rPr>
              <w:t xml:space="preserve"> </w:t>
            </w:r>
            <w:r w:rsidRPr="004F5785">
              <w:rPr>
                <w:bCs/>
                <w:sz w:val="20"/>
              </w:rPr>
              <w:t xml:space="preserve">augimui. </w:t>
            </w:r>
          </w:p>
          <w:p w14:paraId="721D23B7" w14:textId="77777777" w:rsidR="005C389B" w:rsidRPr="00EB6EC0" w:rsidRDefault="005C389B" w:rsidP="004905E2">
            <w:pPr>
              <w:spacing w:after="120"/>
              <w:rPr>
                <w:bCs/>
                <w:sz w:val="20"/>
              </w:rPr>
            </w:pPr>
            <w:r>
              <w:rPr>
                <w:b/>
                <w:sz w:val="20"/>
              </w:rPr>
              <w:t xml:space="preserve">ET </w:t>
            </w:r>
            <w:r w:rsidRPr="00EB6EC0">
              <w:rPr>
                <w:b/>
                <w:sz w:val="20"/>
              </w:rPr>
              <w:t>3 rekomendacija</w:t>
            </w:r>
            <w:r>
              <w:rPr>
                <w:b/>
                <w:sz w:val="20"/>
              </w:rPr>
              <w:t xml:space="preserve"> (2019)</w:t>
            </w:r>
            <w:r w:rsidRPr="00EB6EC0">
              <w:rPr>
                <w:b/>
                <w:sz w:val="20"/>
              </w:rPr>
              <w:t xml:space="preserve">. </w:t>
            </w:r>
            <w:r w:rsidRPr="00EB6EC0">
              <w:rPr>
                <w:bCs/>
                <w:sz w:val="20"/>
              </w:rPr>
              <w:t>Skatinti našumo augimą didinant viešųjų investicijų efektyvumą.</w:t>
            </w:r>
          </w:p>
          <w:p w14:paraId="62F00988" w14:textId="77777777" w:rsidR="005C389B" w:rsidRDefault="005C389B" w:rsidP="004905E2">
            <w:pPr>
              <w:spacing w:after="120"/>
              <w:rPr>
                <w:lang w:eastAsia="lt-LT"/>
              </w:rPr>
            </w:pPr>
            <w:r>
              <w:rPr>
                <w:b/>
                <w:sz w:val="20"/>
              </w:rPr>
              <w:t>Atitink</w:t>
            </w:r>
            <w:r w:rsidRPr="00F811F8">
              <w:rPr>
                <w:b/>
                <w:sz w:val="20"/>
              </w:rPr>
              <w:t xml:space="preserve">a net kelias RRF taikymo sritis, </w:t>
            </w:r>
            <w:r w:rsidRPr="00D655BB">
              <w:rPr>
                <w:bCs/>
                <w:sz w:val="20"/>
              </w:rPr>
              <w:t>iš kurių labiausia</w:t>
            </w:r>
            <w:r w:rsidRPr="00F811F8">
              <w:rPr>
                <w:bCs/>
                <w:sz w:val="20"/>
              </w:rPr>
              <w:t>i: finansų sistemų stabilumas, ekonominė, socialinė ir teritorinė sanglauda, pažangus, tvarus ir integracinis augimas.</w:t>
            </w:r>
            <w:r w:rsidRPr="00F811F8">
              <w:rPr>
                <w:bCs/>
                <w:lang w:eastAsia="lt-LT"/>
              </w:rPr>
              <w:t xml:space="preserve"> </w:t>
            </w:r>
          </w:p>
          <w:p w14:paraId="2DAA8F88" w14:textId="77777777" w:rsidR="005C389B" w:rsidRPr="00F811F8" w:rsidRDefault="005C389B" w:rsidP="004905E2">
            <w:pPr>
              <w:spacing w:after="120"/>
              <w:rPr>
                <w:sz w:val="20"/>
                <w:lang w:eastAsia="lt-LT"/>
              </w:rPr>
            </w:pPr>
            <w:r w:rsidRPr="00F811F8">
              <w:rPr>
                <w:b/>
                <w:bCs/>
                <w:sz w:val="20"/>
                <w:lang w:eastAsia="lt-LT"/>
              </w:rPr>
              <w:t>Atitinka šias EBPO rekomendacijas:</w:t>
            </w:r>
            <w:r w:rsidRPr="00F811F8">
              <w:rPr>
                <w:sz w:val="20"/>
                <w:lang w:eastAsia="lt-LT"/>
              </w:rPr>
              <w:t xml:space="preserve"> didinti fiskalinę decentralizaciją, užtikrinti savivaldybių savarankiškųjų pajamų stabilumą ir </w:t>
            </w:r>
            <w:proofErr w:type="spellStart"/>
            <w:r w:rsidRPr="00F811F8">
              <w:rPr>
                <w:sz w:val="20"/>
                <w:lang w:eastAsia="lt-LT"/>
              </w:rPr>
              <w:t>prognozuojamumą</w:t>
            </w:r>
            <w:proofErr w:type="spellEnd"/>
            <w:r w:rsidRPr="00F811F8">
              <w:rPr>
                <w:sz w:val="20"/>
                <w:lang w:eastAsia="lt-LT"/>
              </w:rPr>
              <w:t>, stiprinti savivaldybių investicinį pajėgumą, remti viešąsias investicijas gaivinant ekonomiką.</w:t>
            </w:r>
          </w:p>
          <w:p w14:paraId="0351282E" w14:textId="77777777" w:rsidR="005C389B" w:rsidRDefault="005C389B" w:rsidP="004905E2">
            <w:pPr>
              <w:spacing w:after="120"/>
              <w:rPr>
                <w:iCs/>
                <w:sz w:val="20"/>
              </w:rPr>
            </w:pPr>
          </w:p>
        </w:tc>
      </w:tr>
      <w:tr w:rsidR="005C389B" w14:paraId="7378E1DE" w14:textId="77777777" w:rsidTr="004905E2">
        <w:trPr>
          <w:trHeight w:val="360"/>
        </w:trPr>
        <w:tc>
          <w:tcPr>
            <w:tcW w:w="2972" w:type="dxa"/>
            <w:shd w:val="clear" w:color="auto" w:fill="FFFFFF" w:themeFill="background1"/>
          </w:tcPr>
          <w:p w14:paraId="376FDE33" w14:textId="77777777" w:rsidR="005C389B" w:rsidRPr="008667B7" w:rsidRDefault="005C389B" w:rsidP="004905E2">
            <w:pPr>
              <w:spacing w:after="120"/>
              <w:rPr>
                <w:sz w:val="20"/>
              </w:rPr>
            </w:pPr>
            <w:r w:rsidRPr="008667B7">
              <w:rPr>
                <w:sz w:val="20"/>
              </w:rPr>
              <w:t>14.2. Projektas: savivaldybių ekonominio savarankiškumo stiprinimas.</w:t>
            </w:r>
          </w:p>
          <w:p w14:paraId="46FE6116" w14:textId="77777777" w:rsidR="005C389B" w:rsidRDefault="005C389B" w:rsidP="004905E2">
            <w:pPr>
              <w:spacing w:after="120"/>
              <w:rPr>
                <w:sz w:val="20"/>
              </w:rPr>
            </w:pPr>
            <w:r w:rsidRPr="008667B7">
              <w:rPr>
                <w:sz w:val="20"/>
              </w:rPr>
              <w:t>14.2.2. Lankstesnės skolinimosi galimybės.</w:t>
            </w:r>
          </w:p>
          <w:p w14:paraId="59AC1169" w14:textId="35A0A129" w:rsidR="000F3435" w:rsidRPr="008667B7" w:rsidRDefault="000F3435" w:rsidP="004905E2">
            <w:pPr>
              <w:spacing w:after="120"/>
              <w:rPr>
                <w:rFonts w:eastAsia="Arial Unicode MS"/>
                <w:color w:val="000000"/>
                <w:sz w:val="20"/>
              </w:rPr>
            </w:pPr>
            <w:r w:rsidRPr="000F3435">
              <w:rPr>
                <w:rFonts w:eastAsia="Arial Unicode MS"/>
                <w:color w:val="000000"/>
                <w:sz w:val="20"/>
              </w:rPr>
              <w:t>20.2.3. Savivaldybių finansinio savarankiškumo didinimas.</w:t>
            </w:r>
          </w:p>
        </w:tc>
        <w:tc>
          <w:tcPr>
            <w:tcW w:w="7371" w:type="dxa"/>
            <w:gridSpan w:val="3"/>
            <w:shd w:val="clear" w:color="auto" w:fill="FFFFFF" w:themeFill="background1"/>
          </w:tcPr>
          <w:p w14:paraId="3924BC8A" w14:textId="77777777" w:rsidR="005C389B" w:rsidRPr="007E780A" w:rsidRDefault="005C389B" w:rsidP="004905E2">
            <w:pPr>
              <w:spacing w:after="120"/>
              <w:rPr>
                <w:sz w:val="20"/>
              </w:rPr>
            </w:pPr>
            <w:r w:rsidRPr="007E780A">
              <w:rPr>
                <w:sz w:val="20"/>
              </w:rPr>
              <w:t>1. Atlikti teisinio reguliavimo ir reglamentavimo peržiūrą:</w:t>
            </w:r>
          </w:p>
          <w:p w14:paraId="5161DA57" w14:textId="77777777" w:rsidR="005C389B" w:rsidRPr="00F8301A" w:rsidRDefault="005C389B" w:rsidP="004905E2">
            <w:pPr>
              <w:spacing w:after="120"/>
              <w:ind w:left="340"/>
              <w:rPr>
                <w:sz w:val="20"/>
              </w:rPr>
            </w:pPr>
            <w:r w:rsidRPr="007E780A">
              <w:rPr>
                <w:sz w:val="20"/>
              </w:rPr>
              <w:t xml:space="preserve">1.1. Savivaldybės biudžeto </w:t>
            </w:r>
            <w:r w:rsidRPr="00F8301A">
              <w:rPr>
                <w:sz w:val="20"/>
              </w:rPr>
              <w:t>balanso taisyklės arba balanso sampratos (skaičiavimo tvarkos) peržiūr</w:t>
            </w:r>
            <w:r>
              <w:rPr>
                <w:sz w:val="20"/>
              </w:rPr>
              <w:t>a</w:t>
            </w:r>
            <w:r w:rsidRPr="00F8301A">
              <w:rPr>
                <w:sz w:val="20"/>
              </w:rPr>
              <w:t>.</w:t>
            </w:r>
          </w:p>
          <w:p w14:paraId="32021E23" w14:textId="77777777" w:rsidR="005C389B" w:rsidRDefault="005C389B" w:rsidP="004905E2">
            <w:pPr>
              <w:spacing w:after="120"/>
              <w:ind w:left="340"/>
              <w:rPr>
                <w:sz w:val="20"/>
              </w:rPr>
            </w:pPr>
            <w:r>
              <w:rPr>
                <w:sz w:val="20"/>
              </w:rPr>
              <w:t xml:space="preserve">1.2. </w:t>
            </w:r>
            <w:r w:rsidRPr="00F8301A">
              <w:rPr>
                <w:sz w:val="20"/>
              </w:rPr>
              <w:t>LR Fiskalinės sutarties įgyvendinimo konstitucinio įstatymo ir kitų susijusių teisės aktų peržiūr</w:t>
            </w:r>
            <w:r>
              <w:rPr>
                <w:sz w:val="20"/>
              </w:rPr>
              <w:t>a</w:t>
            </w:r>
            <w:r w:rsidRPr="00F8301A">
              <w:rPr>
                <w:sz w:val="20"/>
              </w:rPr>
              <w:t>.</w:t>
            </w:r>
          </w:p>
          <w:p w14:paraId="164AF916" w14:textId="77777777" w:rsidR="005C389B" w:rsidRPr="008667B7" w:rsidRDefault="005C389B" w:rsidP="004905E2">
            <w:pPr>
              <w:spacing w:after="120"/>
              <w:rPr>
                <w:sz w:val="20"/>
              </w:rPr>
            </w:pPr>
            <w:r w:rsidRPr="008667B7">
              <w:rPr>
                <w:sz w:val="20"/>
              </w:rPr>
              <w:t xml:space="preserve">2. </w:t>
            </w:r>
            <w:r>
              <w:rPr>
                <w:sz w:val="20"/>
              </w:rPr>
              <w:t>Steigti S</w:t>
            </w:r>
            <w:r w:rsidRPr="008667B7">
              <w:rPr>
                <w:sz w:val="20"/>
              </w:rPr>
              <w:t>avivaldybių paskolų ir garantijų finansin</w:t>
            </w:r>
            <w:r>
              <w:rPr>
                <w:sz w:val="20"/>
              </w:rPr>
              <w:t>į</w:t>
            </w:r>
            <w:r w:rsidRPr="008667B7">
              <w:rPr>
                <w:sz w:val="20"/>
              </w:rPr>
              <w:t xml:space="preserve"> instrument</w:t>
            </w:r>
            <w:r>
              <w:rPr>
                <w:sz w:val="20"/>
              </w:rPr>
              <w:t>ą.</w:t>
            </w:r>
          </w:p>
        </w:tc>
        <w:tc>
          <w:tcPr>
            <w:tcW w:w="1418" w:type="dxa"/>
            <w:gridSpan w:val="2"/>
            <w:shd w:val="clear" w:color="auto" w:fill="FFFFFF" w:themeFill="background1"/>
          </w:tcPr>
          <w:p w14:paraId="554288B3" w14:textId="77777777" w:rsidR="005C389B" w:rsidRDefault="005C389B" w:rsidP="004905E2">
            <w:pPr>
              <w:spacing w:after="120"/>
              <w:jc w:val="both"/>
              <w:rPr>
                <w:sz w:val="20"/>
              </w:rPr>
            </w:pPr>
            <w:r>
              <w:rPr>
                <w:sz w:val="20"/>
              </w:rPr>
              <w:t>FM</w:t>
            </w:r>
          </w:p>
          <w:p w14:paraId="74830E58" w14:textId="77777777" w:rsidR="005C389B" w:rsidRDefault="005C389B" w:rsidP="004905E2">
            <w:pPr>
              <w:spacing w:after="120"/>
              <w:jc w:val="both"/>
              <w:rPr>
                <w:sz w:val="20"/>
              </w:rPr>
            </w:pPr>
          </w:p>
          <w:p w14:paraId="62CA4592" w14:textId="77777777" w:rsidR="005C389B" w:rsidRDefault="005C389B" w:rsidP="004905E2">
            <w:pPr>
              <w:spacing w:after="120"/>
              <w:jc w:val="both"/>
              <w:rPr>
                <w:sz w:val="20"/>
              </w:rPr>
            </w:pPr>
          </w:p>
          <w:p w14:paraId="04DBD8C5" w14:textId="77777777" w:rsidR="005C389B" w:rsidRDefault="005C389B" w:rsidP="004905E2">
            <w:pPr>
              <w:spacing w:after="120"/>
              <w:jc w:val="both"/>
              <w:rPr>
                <w:sz w:val="20"/>
              </w:rPr>
            </w:pPr>
          </w:p>
          <w:p w14:paraId="0117B22C" w14:textId="77777777" w:rsidR="005C389B" w:rsidRDefault="005C389B" w:rsidP="004905E2">
            <w:pPr>
              <w:spacing w:after="120"/>
              <w:jc w:val="both"/>
              <w:rPr>
                <w:sz w:val="20"/>
              </w:rPr>
            </w:pPr>
            <w:r>
              <w:rPr>
                <w:sz w:val="20"/>
              </w:rPr>
              <w:t>FM, VRM</w:t>
            </w:r>
          </w:p>
        </w:tc>
        <w:tc>
          <w:tcPr>
            <w:tcW w:w="3402" w:type="dxa"/>
            <w:vMerge/>
            <w:shd w:val="clear" w:color="auto" w:fill="FFFFFF" w:themeFill="background1"/>
          </w:tcPr>
          <w:p w14:paraId="051AE2BB" w14:textId="77777777" w:rsidR="005C389B" w:rsidRDefault="005C389B" w:rsidP="004905E2">
            <w:pPr>
              <w:spacing w:after="120"/>
              <w:rPr>
                <w:iCs/>
                <w:sz w:val="20"/>
              </w:rPr>
            </w:pPr>
          </w:p>
        </w:tc>
      </w:tr>
      <w:tr w:rsidR="005C389B" w14:paraId="04088605" w14:textId="77777777" w:rsidTr="004905E2">
        <w:trPr>
          <w:trHeight w:val="360"/>
        </w:trPr>
        <w:tc>
          <w:tcPr>
            <w:tcW w:w="2972" w:type="dxa"/>
            <w:shd w:val="clear" w:color="auto" w:fill="FFFFFF" w:themeFill="background1"/>
          </w:tcPr>
          <w:p w14:paraId="7F7E075A" w14:textId="77777777" w:rsidR="005C389B" w:rsidRPr="001B3CFA" w:rsidRDefault="005C389B" w:rsidP="004905E2">
            <w:pPr>
              <w:spacing w:after="120"/>
              <w:rPr>
                <w:rFonts w:eastAsia="Arial Unicode MS"/>
                <w:color w:val="000000"/>
                <w:sz w:val="20"/>
              </w:rPr>
            </w:pPr>
            <w:r w:rsidRPr="001B3CFA">
              <w:rPr>
                <w:sz w:val="20"/>
              </w:rPr>
              <w:t>14.2.3. Savivaldybėms – daugiau savarankiškųjų pajamų šaltinių.</w:t>
            </w:r>
          </w:p>
        </w:tc>
        <w:tc>
          <w:tcPr>
            <w:tcW w:w="7371" w:type="dxa"/>
            <w:gridSpan w:val="3"/>
            <w:shd w:val="clear" w:color="auto" w:fill="FFFFFF" w:themeFill="background1"/>
          </w:tcPr>
          <w:p w14:paraId="20ECF278" w14:textId="77777777" w:rsidR="005C389B" w:rsidRPr="001B3CFA" w:rsidRDefault="005C389B" w:rsidP="004905E2">
            <w:pPr>
              <w:spacing w:after="120"/>
              <w:rPr>
                <w:sz w:val="20"/>
              </w:rPr>
            </w:pPr>
            <w:r w:rsidRPr="001B3CFA">
              <w:rPr>
                <w:sz w:val="20"/>
              </w:rPr>
              <w:t>1. Mažinti valstybės biudžeto dotacijų lyginamąjį svorį savivaldybių biudžetuose</w:t>
            </w:r>
            <w:r>
              <w:rPr>
                <w:sz w:val="20"/>
              </w:rPr>
              <w:t>. Atlikti funkcijų finansavimo būdo peržiūrą – k</w:t>
            </w:r>
            <w:r w:rsidRPr="001B3CFA">
              <w:rPr>
                <w:sz w:val="20"/>
              </w:rPr>
              <w:t>ai kurias funkcijas vietoje skiriamų tikslinių dotacijų finansuoti papildomomis GPM lėšomis.</w:t>
            </w:r>
          </w:p>
          <w:p w14:paraId="3D1EB94A" w14:textId="77777777" w:rsidR="005C389B" w:rsidRDefault="005C389B" w:rsidP="004905E2">
            <w:pPr>
              <w:spacing w:after="120"/>
              <w:rPr>
                <w:sz w:val="20"/>
              </w:rPr>
            </w:pPr>
            <w:r w:rsidRPr="001B3CFA">
              <w:rPr>
                <w:sz w:val="20"/>
              </w:rPr>
              <w:t xml:space="preserve">2. </w:t>
            </w:r>
            <w:r>
              <w:rPr>
                <w:sz w:val="20"/>
              </w:rPr>
              <w:t>Užtikrinti</w:t>
            </w:r>
            <w:r w:rsidRPr="001B3CFA">
              <w:rPr>
                <w:sz w:val="20"/>
              </w:rPr>
              <w:t xml:space="preserve"> šimtaprocentinį valstybės savivaldybėms deleguotų funkcijų finansavimą.</w:t>
            </w:r>
          </w:p>
          <w:p w14:paraId="5EB72199" w14:textId="77777777" w:rsidR="005C389B" w:rsidRPr="001B3CFA" w:rsidRDefault="005C389B" w:rsidP="004905E2">
            <w:pPr>
              <w:spacing w:after="120"/>
              <w:rPr>
                <w:bCs/>
                <w:sz w:val="20"/>
              </w:rPr>
            </w:pPr>
            <w:r w:rsidRPr="001B3CFA">
              <w:rPr>
                <w:bCs/>
                <w:sz w:val="20"/>
              </w:rPr>
              <w:t xml:space="preserve">3. Užtikrinti savivaldybių finansinių šaltinių stabilumą ir </w:t>
            </w:r>
            <w:proofErr w:type="spellStart"/>
            <w:r w:rsidRPr="001B3CFA">
              <w:rPr>
                <w:bCs/>
                <w:sz w:val="20"/>
              </w:rPr>
              <w:t>prognozuojamumą</w:t>
            </w:r>
            <w:proofErr w:type="spellEnd"/>
            <w:r w:rsidRPr="001B3CFA">
              <w:rPr>
                <w:bCs/>
                <w:sz w:val="20"/>
              </w:rPr>
              <w:t>.</w:t>
            </w:r>
            <w:r>
              <w:t xml:space="preserve"> </w:t>
            </w:r>
            <w:r>
              <w:rPr>
                <w:bCs/>
                <w:sz w:val="20"/>
              </w:rPr>
              <w:t>Šiam tikslui p</w:t>
            </w:r>
            <w:r w:rsidRPr="00696407">
              <w:rPr>
                <w:bCs/>
                <w:sz w:val="20"/>
              </w:rPr>
              <w:t>arengti Savivaldybių biudžetų pajamų nustatymo metodikos įstatymo pakeitimus</w:t>
            </w:r>
            <w:r>
              <w:rPr>
                <w:bCs/>
                <w:sz w:val="20"/>
              </w:rPr>
              <w:t>:</w:t>
            </w:r>
          </w:p>
          <w:p w14:paraId="3290E2FE" w14:textId="77777777" w:rsidR="005C389B" w:rsidRPr="00806533" w:rsidRDefault="005C389B" w:rsidP="004905E2">
            <w:pPr>
              <w:spacing w:after="120"/>
              <w:ind w:left="340"/>
              <w:rPr>
                <w:bCs/>
                <w:sz w:val="20"/>
              </w:rPr>
            </w:pPr>
            <w:r>
              <w:rPr>
                <w:bCs/>
                <w:sz w:val="20"/>
              </w:rPr>
              <w:t>3.1.</w:t>
            </w:r>
            <w:r w:rsidRPr="00806533">
              <w:rPr>
                <w:bCs/>
                <w:sz w:val="20"/>
              </w:rPr>
              <w:t>S</w:t>
            </w:r>
            <w:r>
              <w:rPr>
                <w:bCs/>
                <w:sz w:val="20"/>
              </w:rPr>
              <w:t xml:space="preserve">avivaldybių biudžetų pajamų </w:t>
            </w:r>
            <w:proofErr w:type="spellStart"/>
            <w:r>
              <w:rPr>
                <w:bCs/>
                <w:sz w:val="20"/>
              </w:rPr>
              <w:t>netekimus</w:t>
            </w:r>
            <w:proofErr w:type="spellEnd"/>
            <w:r>
              <w:rPr>
                <w:bCs/>
                <w:sz w:val="20"/>
              </w:rPr>
              <w:t xml:space="preserve"> dėl S</w:t>
            </w:r>
            <w:r w:rsidRPr="00806533">
              <w:rPr>
                <w:bCs/>
                <w:sz w:val="20"/>
              </w:rPr>
              <w:t>eimo ar Vyriausybės sprendim</w:t>
            </w:r>
            <w:r>
              <w:rPr>
                <w:bCs/>
                <w:sz w:val="20"/>
              </w:rPr>
              <w:t>ų</w:t>
            </w:r>
            <w:r w:rsidRPr="00806533">
              <w:rPr>
                <w:bCs/>
                <w:sz w:val="20"/>
              </w:rPr>
              <w:t>, kurie mažina savivaldybių biudžetų prognozuojamas pajamas dėl GPM netekimo, 100 proc. kompensuoti valstybės biudžeto</w:t>
            </w:r>
            <w:r>
              <w:rPr>
                <w:bCs/>
                <w:sz w:val="20"/>
              </w:rPr>
              <w:t xml:space="preserve"> lėšomis</w:t>
            </w:r>
            <w:r w:rsidRPr="00806533">
              <w:rPr>
                <w:bCs/>
                <w:sz w:val="20"/>
              </w:rPr>
              <w:t>.</w:t>
            </w:r>
          </w:p>
          <w:p w14:paraId="7B610023" w14:textId="77777777" w:rsidR="005C389B" w:rsidRDefault="005C389B" w:rsidP="004905E2">
            <w:pPr>
              <w:spacing w:after="120"/>
              <w:ind w:left="340"/>
              <w:rPr>
                <w:bCs/>
                <w:sz w:val="20"/>
              </w:rPr>
            </w:pPr>
            <w:r>
              <w:rPr>
                <w:bCs/>
                <w:sz w:val="20"/>
              </w:rPr>
              <w:t>3.2</w:t>
            </w:r>
            <w:r w:rsidRPr="00806533">
              <w:rPr>
                <w:bCs/>
                <w:sz w:val="20"/>
              </w:rPr>
              <w:t>. Tobulinti savivaldybėms prognozuojamų pajamų sumažėjimo kompensavimo mechanizmą, nustatant GPM pajamų mažėjimo šimtaprocentinį kompensavimą bei įteisinant aiškias taisykles dėl kompensavimo mažinimo ekonominio sunkmečio metu.</w:t>
            </w:r>
          </w:p>
          <w:p w14:paraId="534F450F" w14:textId="77777777" w:rsidR="005C389B" w:rsidRPr="00696407" w:rsidRDefault="005C389B" w:rsidP="004905E2">
            <w:pPr>
              <w:spacing w:after="120"/>
              <w:ind w:left="340"/>
              <w:rPr>
                <w:sz w:val="20"/>
              </w:rPr>
            </w:pPr>
            <w:r w:rsidRPr="00696407">
              <w:rPr>
                <w:sz w:val="20"/>
              </w:rPr>
              <w:lastRenderedPageBreak/>
              <w:t>3.3. Tobulinti savivaldybėms patvirtintų, bet negautų pajamų sumažėjimo kompensavimo mechanizmą.</w:t>
            </w:r>
          </w:p>
        </w:tc>
        <w:tc>
          <w:tcPr>
            <w:tcW w:w="1418" w:type="dxa"/>
            <w:gridSpan w:val="2"/>
            <w:shd w:val="clear" w:color="auto" w:fill="FFFFFF" w:themeFill="background1"/>
          </w:tcPr>
          <w:p w14:paraId="23194484" w14:textId="77777777" w:rsidR="005C389B" w:rsidRDefault="005C389B" w:rsidP="004905E2">
            <w:pPr>
              <w:spacing w:after="120"/>
              <w:jc w:val="both"/>
              <w:rPr>
                <w:sz w:val="20"/>
              </w:rPr>
            </w:pPr>
            <w:r w:rsidRPr="001B3CFA">
              <w:rPr>
                <w:sz w:val="20"/>
              </w:rPr>
              <w:lastRenderedPageBreak/>
              <w:t>FM ir kitos ministerijos, skirstančios savivaldybėms dotacijas valstybės deleguotoms funkcijoms atlikti.</w:t>
            </w:r>
          </w:p>
          <w:p w14:paraId="1B663D4B" w14:textId="77777777" w:rsidR="005C389B" w:rsidRPr="001B3CFA" w:rsidRDefault="005C389B" w:rsidP="004905E2">
            <w:pPr>
              <w:spacing w:after="120"/>
              <w:jc w:val="both"/>
              <w:rPr>
                <w:sz w:val="20"/>
              </w:rPr>
            </w:pPr>
          </w:p>
        </w:tc>
        <w:tc>
          <w:tcPr>
            <w:tcW w:w="3402" w:type="dxa"/>
            <w:vMerge/>
            <w:shd w:val="clear" w:color="auto" w:fill="FFFFFF" w:themeFill="background1"/>
          </w:tcPr>
          <w:p w14:paraId="3C4A28B5" w14:textId="77777777" w:rsidR="005C389B" w:rsidRDefault="005C389B" w:rsidP="004905E2">
            <w:pPr>
              <w:spacing w:after="120"/>
              <w:rPr>
                <w:iCs/>
                <w:sz w:val="20"/>
              </w:rPr>
            </w:pPr>
          </w:p>
        </w:tc>
      </w:tr>
      <w:tr w:rsidR="005C389B" w14:paraId="3548FA34" w14:textId="77777777" w:rsidTr="004905E2">
        <w:trPr>
          <w:trHeight w:val="360"/>
        </w:trPr>
        <w:tc>
          <w:tcPr>
            <w:tcW w:w="2972" w:type="dxa"/>
            <w:shd w:val="clear" w:color="auto" w:fill="FFFFFF" w:themeFill="background1"/>
          </w:tcPr>
          <w:p w14:paraId="560A0E42" w14:textId="77777777" w:rsidR="005C389B" w:rsidRPr="00271794" w:rsidRDefault="005C389B" w:rsidP="004905E2">
            <w:pPr>
              <w:spacing w:after="120"/>
              <w:rPr>
                <w:rFonts w:eastAsia="Arial Unicode MS"/>
                <w:color w:val="000000"/>
                <w:sz w:val="20"/>
              </w:rPr>
            </w:pPr>
            <w:r w:rsidRPr="00271794">
              <w:rPr>
                <w:sz w:val="20"/>
              </w:rPr>
              <w:t>14.2.4. Aiški ir skaidri valstybės biudžeto lėšų skyrimo savivaldybių investiciniams projektams tvarka.</w:t>
            </w:r>
          </w:p>
        </w:tc>
        <w:tc>
          <w:tcPr>
            <w:tcW w:w="7371" w:type="dxa"/>
            <w:gridSpan w:val="3"/>
            <w:shd w:val="clear" w:color="auto" w:fill="FFFFFF" w:themeFill="background1"/>
          </w:tcPr>
          <w:p w14:paraId="5AD1ECC4" w14:textId="77777777" w:rsidR="005C389B" w:rsidRPr="00271794" w:rsidRDefault="005C389B" w:rsidP="004905E2">
            <w:pPr>
              <w:spacing w:after="120"/>
              <w:rPr>
                <w:sz w:val="20"/>
              </w:rPr>
            </w:pPr>
            <w:r w:rsidRPr="00271794">
              <w:rPr>
                <w:sz w:val="20"/>
              </w:rPr>
              <w:t>Parengti rodiklių sistemą, pagal kurią savivaldybėms būtų paskirstomos valstybės biudžeto lėšos savivaldybių investiciniams projektams finansuoti.</w:t>
            </w:r>
          </w:p>
        </w:tc>
        <w:tc>
          <w:tcPr>
            <w:tcW w:w="1418" w:type="dxa"/>
            <w:gridSpan w:val="2"/>
            <w:shd w:val="clear" w:color="auto" w:fill="FFFFFF" w:themeFill="background1"/>
          </w:tcPr>
          <w:p w14:paraId="4274FF88" w14:textId="77777777" w:rsidR="005C389B" w:rsidRDefault="005C389B" w:rsidP="004905E2">
            <w:pPr>
              <w:spacing w:after="120"/>
              <w:jc w:val="both"/>
              <w:rPr>
                <w:sz w:val="20"/>
              </w:rPr>
            </w:pPr>
            <w:r>
              <w:rPr>
                <w:sz w:val="20"/>
              </w:rPr>
              <w:t>FM</w:t>
            </w:r>
          </w:p>
        </w:tc>
        <w:tc>
          <w:tcPr>
            <w:tcW w:w="3402" w:type="dxa"/>
            <w:vMerge/>
            <w:shd w:val="clear" w:color="auto" w:fill="FFFFFF" w:themeFill="background1"/>
          </w:tcPr>
          <w:p w14:paraId="1D7BE691" w14:textId="77777777" w:rsidR="005C389B" w:rsidRDefault="005C389B" w:rsidP="004905E2">
            <w:pPr>
              <w:spacing w:after="120"/>
              <w:rPr>
                <w:iCs/>
                <w:sz w:val="20"/>
              </w:rPr>
            </w:pPr>
          </w:p>
        </w:tc>
      </w:tr>
      <w:tr w:rsidR="005C389B" w14:paraId="40FAD40A" w14:textId="77777777" w:rsidTr="004905E2">
        <w:trPr>
          <w:trHeight w:val="360"/>
        </w:trPr>
        <w:tc>
          <w:tcPr>
            <w:tcW w:w="2972" w:type="dxa"/>
            <w:shd w:val="clear" w:color="auto" w:fill="FFFFFF" w:themeFill="background1"/>
          </w:tcPr>
          <w:p w14:paraId="4BB37934" w14:textId="77777777" w:rsidR="005C389B" w:rsidRPr="0051644F" w:rsidRDefault="005C389B" w:rsidP="004905E2">
            <w:pPr>
              <w:spacing w:after="120"/>
              <w:rPr>
                <w:rFonts w:eastAsia="Arial Unicode MS"/>
                <w:color w:val="000000"/>
                <w:sz w:val="20"/>
              </w:rPr>
            </w:pPr>
            <w:r w:rsidRPr="00806533">
              <w:rPr>
                <w:bCs/>
                <w:sz w:val="20"/>
              </w:rPr>
              <w:t xml:space="preserve">14.2.5. </w:t>
            </w:r>
            <w:r w:rsidRPr="00806533">
              <w:rPr>
                <w:sz w:val="20"/>
              </w:rPr>
              <w:t>Didesnės galimybės racionaliau naudoti valstybės biudžeto tikslines dotacijas.</w:t>
            </w:r>
          </w:p>
        </w:tc>
        <w:tc>
          <w:tcPr>
            <w:tcW w:w="7371" w:type="dxa"/>
            <w:gridSpan w:val="3"/>
            <w:shd w:val="clear" w:color="auto" w:fill="FFFFFF" w:themeFill="background1"/>
          </w:tcPr>
          <w:p w14:paraId="3F3D9157" w14:textId="77777777" w:rsidR="005C389B" w:rsidRPr="001A074A" w:rsidRDefault="005C389B" w:rsidP="004905E2">
            <w:pPr>
              <w:spacing w:after="120"/>
              <w:rPr>
                <w:sz w:val="20"/>
              </w:rPr>
            </w:pPr>
            <w:r w:rsidRPr="001A074A">
              <w:rPr>
                <w:sz w:val="20"/>
              </w:rPr>
              <w:t>Užtikrinti didesnį lankstumą savivaldybėms panaudoti tikslines dotacijas tiesioginėms ir kitoms funkcijoms</w:t>
            </w:r>
            <w:r>
              <w:rPr>
                <w:sz w:val="20"/>
              </w:rPr>
              <w:t xml:space="preserve"> vykdyti.</w:t>
            </w:r>
          </w:p>
          <w:p w14:paraId="37FD7B17" w14:textId="77777777" w:rsidR="005C389B" w:rsidRPr="00271794" w:rsidRDefault="005C389B" w:rsidP="004905E2">
            <w:pPr>
              <w:spacing w:after="120"/>
              <w:rPr>
                <w:bCs/>
                <w:sz w:val="20"/>
              </w:rPr>
            </w:pPr>
          </w:p>
        </w:tc>
        <w:tc>
          <w:tcPr>
            <w:tcW w:w="1418" w:type="dxa"/>
            <w:gridSpan w:val="2"/>
            <w:shd w:val="clear" w:color="auto" w:fill="FFFFFF" w:themeFill="background1"/>
          </w:tcPr>
          <w:p w14:paraId="1267FBF2" w14:textId="77777777" w:rsidR="005C389B" w:rsidRPr="00271794" w:rsidRDefault="005C389B" w:rsidP="004905E2">
            <w:pPr>
              <w:spacing w:after="120"/>
              <w:jc w:val="both"/>
              <w:rPr>
                <w:bCs/>
                <w:sz w:val="20"/>
              </w:rPr>
            </w:pPr>
            <w:r w:rsidRPr="00271794">
              <w:rPr>
                <w:bCs/>
                <w:sz w:val="20"/>
              </w:rPr>
              <w:t>FM ir kitos ministerijos, skirstančios savivaldybėms dotacijas valstybės deleguotoms funkcijoms atlikti.</w:t>
            </w:r>
          </w:p>
        </w:tc>
        <w:tc>
          <w:tcPr>
            <w:tcW w:w="3402" w:type="dxa"/>
            <w:vMerge/>
            <w:shd w:val="clear" w:color="auto" w:fill="FFFFFF" w:themeFill="background1"/>
          </w:tcPr>
          <w:p w14:paraId="3A393D8B" w14:textId="77777777" w:rsidR="005C389B" w:rsidRDefault="005C389B" w:rsidP="004905E2">
            <w:pPr>
              <w:spacing w:after="120"/>
              <w:rPr>
                <w:iCs/>
                <w:sz w:val="20"/>
              </w:rPr>
            </w:pPr>
          </w:p>
        </w:tc>
      </w:tr>
      <w:tr w:rsidR="005C389B" w14:paraId="04F7A2F2" w14:textId="77777777" w:rsidTr="004905E2">
        <w:trPr>
          <w:trHeight w:val="360"/>
        </w:trPr>
        <w:tc>
          <w:tcPr>
            <w:tcW w:w="2972" w:type="dxa"/>
            <w:shd w:val="clear" w:color="auto" w:fill="FFFFFF" w:themeFill="background1"/>
          </w:tcPr>
          <w:p w14:paraId="71A5559A" w14:textId="77777777" w:rsidR="005C389B" w:rsidRPr="0051644F" w:rsidRDefault="005C389B" w:rsidP="004905E2">
            <w:pPr>
              <w:spacing w:after="120"/>
              <w:rPr>
                <w:rFonts w:eastAsia="Arial Unicode MS"/>
                <w:color w:val="000000"/>
                <w:sz w:val="20"/>
              </w:rPr>
            </w:pPr>
            <w:r w:rsidRPr="00806533">
              <w:rPr>
                <w:bCs/>
                <w:sz w:val="20"/>
              </w:rPr>
              <w:t xml:space="preserve">14.2.6. </w:t>
            </w:r>
            <w:r w:rsidRPr="00806533">
              <w:rPr>
                <w:sz w:val="20"/>
              </w:rPr>
              <w:t xml:space="preserve">Savivaldybių </w:t>
            </w:r>
            <w:proofErr w:type="spellStart"/>
            <w:r w:rsidRPr="00806533">
              <w:rPr>
                <w:sz w:val="20"/>
              </w:rPr>
              <w:t>įtraukties</w:t>
            </w:r>
            <w:proofErr w:type="spellEnd"/>
            <w:r w:rsidRPr="00806533">
              <w:rPr>
                <w:sz w:val="20"/>
              </w:rPr>
              <w:t xml:space="preserve"> priimant jų veiklai aktualius teisės aktus didinimas.</w:t>
            </w:r>
          </w:p>
        </w:tc>
        <w:tc>
          <w:tcPr>
            <w:tcW w:w="7371" w:type="dxa"/>
            <w:gridSpan w:val="3"/>
            <w:shd w:val="clear" w:color="auto" w:fill="FFFFFF" w:themeFill="background1"/>
          </w:tcPr>
          <w:p w14:paraId="6ED1EA35" w14:textId="77777777" w:rsidR="005C389B" w:rsidRPr="00271794" w:rsidRDefault="005C389B" w:rsidP="004905E2">
            <w:pPr>
              <w:spacing w:after="120"/>
              <w:rPr>
                <w:bCs/>
                <w:sz w:val="20"/>
              </w:rPr>
            </w:pPr>
            <w:r w:rsidRPr="00271794">
              <w:rPr>
                <w:bCs/>
                <w:sz w:val="20"/>
              </w:rPr>
              <w:t>Atnaujinti savivaldybių finansinių rodiklių derinimo tvarką.</w:t>
            </w:r>
          </w:p>
          <w:p w14:paraId="0612D770" w14:textId="77777777" w:rsidR="005C389B" w:rsidRPr="0051644F" w:rsidRDefault="005C389B" w:rsidP="004905E2">
            <w:pPr>
              <w:spacing w:after="120"/>
              <w:rPr>
                <w:sz w:val="20"/>
              </w:rPr>
            </w:pPr>
          </w:p>
        </w:tc>
        <w:tc>
          <w:tcPr>
            <w:tcW w:w="1418" w:type="dxa"/>
            <w:gridSpan w:val="2"/>
            <w:shd w:val="clear" w:color="auto" w:fill="FFFFFF" w:themeFill="background1"/>
          </w:tcPr>
          <w:p w14:paraId="1BDF919F" w14:textId="77777777" w:rsidR="005C389B" w:rsidRDefault="005C389B" w:rsidP="004905E2">
            <w:pPr>
              <w:spacing w:after="120"/>
              <w:jc w:val="both"/>
              <w:rPr>
                <w:sz w:val="20"/>
              </w:rPr>
            </w:pPr>
            <w:r>
              <w:rPr>
                <w:sz w:val="20"/>
              </w:rPr>
              <w:t>FM</w:t>
            </w:r>
          </w:p>
        </w:tc>
        <w:tc>
          <w:tcPr>
            <w:tcW w:w="3402" w:type="dxa"/>
            <w:vMerge/>
            <w:shd w:val="clear" w:color="auto" w:fill="FFFFFF" w:themeFill="background1"/>
          </w:tcPr>
          <w:p w14:paraId="6AE2417F" w14:textId="77777777" w:rsidR="005C389B" w:rsidRDefault="005C389B" w:rsidP="004905E2">
            <w:pPr>
              <w:spacing w:after="120"/>
              <w:rPr>
                <w:iCs/>
                <w:sz w:val="20"/>
              </w:rPr>
            </w:pPr>
          </w:p>
        </w:tc>
      </w:tr>
    </w:tbl>
    <w:p w14:paraId="436A303B" w14:textId="77777777" w:rsidR="005C389B" w:rsidRDefault="005C389B" w:rsidP="00047EF5">
      <w:pPr>
        <w:spacing w:after="120"/>
        <w:rPr>
          <w:sz w:val="20"/>
        </w:rPr>
      </w:pPr>
    </w:p>
    <w:p w14:paraId="077DA22C" w14:textId="79C323A9" w:rsidR="005C389B" w:rsidRDefault="005C389B" w:rsidP="00047EF5">
      <w:pPr>
        <w:spacing w:after="120"/>
        <w:rPr>
          <w:sz w:val="20"/>
        </w:rPr>
      </w:pPr>
    </w:p>
    <w:p w14:paraId="4E3BF4A4" w14:textId="6D25274B" w:rsidR="005C389B" w:rsidRDefault="005C389B" w:rsidP="00047EF5">
      <w:pPr>
        <w:spacing w:after="120"/>
        <w:rPr>
          <w:sz w:val="20"/>
        </w:rPr>
      </w:pPr>
    </w:p>
    <w:p w14:paraId="456161C8" w14:textId="43F1011C" w:rsidR="005C389B" w:rsidRDefault="005C389B" w:rsidP="00047EF5">
      <w:pPr>
        <w:spacing w:after="120"/>
        <w:rPr>
          <w:sz w:val="20"/>
        </w:rPr>
      </w:pPr>
    </w:p>
    <w:p w14:paraId="0FC465A4" w14:textId="7C7C0F94" w:rsidR="005C389B" w:rsidRDefault="005C389B" w:rsidP="00047EF5">
      <w:pPr>
        <w:spacing w:after="120"/>
        <w:rPr>
          <w:sz w:val="20"/>
        </w:rPr>
      </w:pPr>
    </w:p>
    <w:p w14:paraId="3E6E9A26" w14:textId="341C8789" w:rsidR="005C389B" w:rsidRDefault="005C389B" w:rsidP="00047EF5">
      <w:pPr>
        <w:spacing w:after="120"/>
        <w:rPr>
          <w:sz w:val="20"/>
        </w:rPr>
      </w:pPr>
    </w:p>
    <w:p w14:paraId="4588638B" w14:textId="1C5F9DFF" w:rsidR="005C389B" w:rsidRDefault="005C389B" w:rsidP="00047EF5">
      <w:pPr>
        <w:spacing w:after="120"/>
        <w:rPr>
          <w:sz w:val="20"/>
        </w:rPr>
      </w:pPr>
    </w:p>
    <w:p w14:paraId="1B3CF297" w14:textId="0C33521E" w:rsidR="005C389B" w:rsidRDefault="005C389B" w:rsidP="00047EF5">
      <w:pPr>
        <w:spacing w:after="120"/>
        <w:rPr>
          <w:sz w:val="20"/>
        </w:rPr>
      </w:pPr>
    </w:p>
    <w:p w14:paraId="27E1F269" w14:textId="221D71C0" w:rsidR="005C389B" w:rsidRDefault="005C389B" w:rsidP="00047EF5">
      <w:pPr>
        <w:spacing w:after="120"/>
        <w:rPr>
          <w:sz w:val="20"/>
        </w:rPr>
      </w:pPr>
    </w:p>
    <w:p w14:paraId="5EA190CA" w14:textId="773C7E81" w:rsidR="005C389B" w:rsidRDefault="005C389B" w:rsidP="00047EF5">
      <w:pPr>
        <w:spacing w:after="120"/>
        <w:rPr>
          <w:sz w:val="20"/>
        </w:rPr>
      </w:pPr>
    </w:p>
    <w:p w14:paraId="66CE14FF" w14:textId="0B08577A" w:rsidR="005C389B" w:rsidRDefault="005C389B" w:rsidP="00047EF5">
      <w:pPr>
        <w:spacing w:after="120"/>
        <w:rPr>
          <w:sz w:val="20"/>
        </w:rPr>
      </w:pPr>
    </w:p>
    <w:p w14:paraId="5A1098D1" w14:textId="49C37E4A" w:rsidR="005C389B" w:rsidRDefault="005C389B" w:rsidP="00047EF5">
      <w:pPr>
        <w:spacing w:after="120"/>
        <w:rPr>
          <w:sz w:val="20"/>
        </w:rPr>
      </w:pPr>
    </w:p>
    <w:p w14:paraId="6BD0BA17" w14:textId="4180030F" w:rsidR="005C389B" w:rsidRDefault="005C389B" w:rsidP="00047EF5">
      <w:pPr>
        <w:spacing w:after="120"/>
        <w:rPr>
          <w:sz w:val="20"/>
        </w:rPr>
      </w:pPr>
    </w:p>
    <w:p w14:paraId="67023648" w14:textId="77777777" w:rsidR="005C389B" w:rsidRDefault="005C389B" w:rsidP="00047EF5">
      <w:pPr>
        <w:spacing w:after="120"/>
        <w:rPr>
          <w:sz w:val="20"/>
        </w:rPr>
      </w:pPr>
    </w:p>
    <w:tbl>
      <w:tblPr>
        <w:tblStyle w:val="Lentelstinklelis"/>
        <w:tblW w:w="15163" w:type="dxa"/>
        <w:tblLayout w:type="fixed"/>
        <w:tblLook w:val="04A0" w:firstRow="1" w:lastRow="0" w:firstColumn="1" w:lastColumn="0" w:noHBand="0" w:noVBand="1"/>
      </w:tblPr>
      <w:tblGrid>
        <w:gridCol w:w="3256"/>
        <w:gridCol w:w="7087"/>
        <w:gridCol w:w="1418"/>
        <w:gridCol w:w="3402"/>
      </w:tblGrid>
      <w:tr w:rsidR="00047EF5" w:rsidRPr="00D47BEA" w14:paraId="047BC5BF" w14:textId="77777777" w:rsidTr="00CF24BC">
        <w:trPr>
          <w:trHeight w:val="269"/>
        </w:trPr>
        <w:tc>
          <w:tcPr>
            <w:tcW w:w="15163" w:type="dxa"/>
            <w:gridSpan w:val="4"/>
            <w:shd w:val="clear" w:color="auto" w:fill="C45911" w:themeFill="accent2" w:themeFillShade="BF"/>
          </w:tcPr>
          <w:p w14:paraId="5859B4D9" w14:textId="77777777" w:rsidR="00047EF5" w:rsidRPr="00D47BEA" w:rsidRDefault="00047EF5" w:rsidP="00CF24BC">
            <w:pPr>
              <w:jc w:val="center"/>
              <w:rPr>
                <w:b/>
                <w:bCs/>
                <w:iCs/>
                <w:szCs w:val="24"/>
              </w:rPr>
            </w:pPr>
            <w:r w:rsidRPr="00D47BEA">
              <w:rPr>
                <w:rFonts w:eastAsia="Arial Unicode MS"/>
                <w:b/>
                <w:bCs/>
                <w:color w:val="000000"/>
                <w:szCs w:val="24"/>
              </w:rPr>
              <w:lastRenderedPageBreak/>
              <w:t>VALSTYBĖS TARNYBA</w:t>
            </w:r>
          </w:p>
        </w:tc>
      </w:tr>
      <w:tr w:rsidR="00047EF5" w:rsidRPr="00D47BEA" w14:paraId="0209FB45" w14:textId="77777777" w:rsidTr="005C389B">
        <w:trPr>
          <w:trHeight w:val="360"/>
        </w:trPr>
        <w:tc>
          <w:tcPr>
            <w:tcW w:w="3256" w:type="dxa"/>
            <w:shd w:val="clear" w:color="auto" w:fill="D9D9D9" w:themeFill="background1" w:themeFillShade="D9"/>
          </w:tcPr>
          <w:p w14:paraId="1B5DECDB" w14:textId="77777777" w:rsidR="00047EF5" w:rsidRPr="00D47BEA" w:rsidRDefault="00047EF5" w:rsidP="00CF24BC">
            <w:pPr>
              <w:jc w:val="both"/>
              <w:rPr>
                <w:b/>
                <w:bCs/>
                <w:sz w:val="20"/>
              </w:rPr>
            </w:pPr>
            <w:r w:rsidRPr="00D47BEA">
              <w:rPr>
                <w:b/>
                <w:bCs/>
                <w:sz w:val="20"/>
              </w:rPr>
              <w:t>LRV programos prioritetas</w:t>
            </w:r>
          </w:p>
          <w:p w14:paraId="7D54576F" w14:textId="77777777" w:rsidR="00047EF5" w:rsidRPr="00D47BEA" w:rsidRDefault="00047EF5" w:rsidP="00CF24BC">
            <w:pPr>
              <w:spacing w:after="120"/>
              <w:rPr>
                <w:rFonts w:eastAsia="Arial Unicode MS"/>
                <w:color w:val="000000"/>
                <w:sz w:val="20"/>
              </w:rPr>
            </w:pPr>
          </w:p>
        </w:tc>
        <w:tc>
          <w:tcPr>
            <w:tcW w:w="7087" w:type="dxa"/>
            <w:shd w:val="clear" w:color="auto" w:fill="D9D9D9" w:themeFill="background1" w:themeFillShade="D9"/>
          </w:tcPr>
          <w:p w14:paraId="27AB4146" w14:textId="77777777" w:rsidR="00047EF5" w:rsidRPr="00D47BEA" w:rsidRDefault="00047EF5" w:rsidP="00CF24BC">
            <w:pPr>
              <w:spacing w:after="120"/>
              <w:rPr>
                <w:sz w:val="20"/>
              </w:rPr>
            </w:pPr>
            <w:r w:rsidRPr="00D47BEA">
              <w:rPr>
                <w:b/>
                <w:bCs/>
                <w:sz w:val="20"/>
              </w:rPr>
              <w:t>LSA siūloma priemonė</w:t>
            </w:r>
          </w:p>
        </w:tc>
        <w:tc>
          <w:tcPr>
            <w:tcW w:w="1418" w:type="dxa"/>
            <w:shd w:val="clear" w:color="auto" w:fill="D9D9D9" w:themeFill="background1" w:themeFillShade="D9"/>
          </w:tcPr>
          <w:p w14:paraId="6FF3EF52" w14:textId="77777777" w:rsidR="00047EF5" w:rsidRPr="00D47BEA" w:rsidRDefault="00047EF5" w:rsidP="00CF24BC">
            <w:pPr>
              <w:spacing w:after="120"/>
              <w:jc w:val="both"/>
              <w:rPr>
                <w:sz w:val="20"/>
              </w:rPr>
            </w:pPr>
            <w:r w:rsidRPr="00D47BEA">
              <w:rPr>
                <w:b/>
                <w:bCs/>
                <w:sz w:val="20"/>
              </w:rPr>
              <w:t>Atsakinga institucija</w:t>
            </w:r>
          </w:p>
        </w:tc>
        <w:tc>
          <w:tcPr>
            <w:tcW w:w="3402" w:type="dxa"/>
            <w:shd w:val="clear" w:color="auto" w:fill="D9D9D9" w:themeFill="background1" w:themeFillShade="D9"/>
          </w:tcPr>
          <w:p w14:paraId="7C311545" w14:textId="77777777" w:rsidR="00047EF5" w:rsidRPr="00D47BEA" w:rsidRDefault="00047EF5" w:rsidP="00CF24BC">
            <w:pPr>
              <w:spacing w:after="120"/>
              <w:rPr>
                <w:iCs/>
                <w:sz w:val="20"/>
              </w:rPr>
            </w:pPr>
            <w:r w:rsidRPr="00D47BEA">
              <w:rPr>
                <w:b/>
                <w:bCs/>
                <w:sz w:val="20"/>
              </w:rPr>
              <w:t>Priemonės sąsaja su NPP tikslais, ET rekomendacijomis Lietuvai, RRF prioritetais</w:t>
            </w:r>
          </w:p>
        </w:tc>
      </w:tr>
      <w:tr w:rsidR="00047EF5" w:rsidRPr="00D47BEA" w14:paraId="5E8F59B4" w14:textId="77777777" w:rsidTr="005C389B">
        <w:trPr>
          <w:trHeight w:val="360"/>
        </w:trPr>
        <w:tc>
          <w:tcPr>
            <w:tcW w:w="3256" w:type="dxa"/>
            <w:shd w:val="clear" w:color="auto" w:fill="FFFFFF" w:themeFill="background1"/>
          </w:tcPr>
          <w:p w14:paraId="53F93BA4" w14:textId="77777777" w:rsidR="00047EF5" w:rsidRPr="00D47BEA" w:rsidRDefault="00047EF5" w:rsidP="00CF24BC">
            <w:pPr>
              <w:spacing w:after="120"/>
              <w:rPr>
                <w:sz w:val="20"/>
              </w:rPr>
            </w:pPr>
            <w:r w:rsidRPr="00D47BEA">
              <w:rPr>
                <w:iCs/>
                <w:sz w:val="20"/>
              </w:rPr>
              <w:t xml:space="preserve">18.3. </w:t>
            </w:r>
            <w:r w:rsidRPr="00D47BEA">
              <w:rPr>
                <w:sz w:val="20"/>
              </w:rPr>
              <w:t>Projektas: stiprūs ir atsakingi vadovai – valstybės tarnybos veidas.</w:t>
            </w:r>
          </w:p>
          <w:p w14:paraId="1B71D78D" w14:textId="77777777" w:rsidR="00047EF5" w:rsidRPr="00D47BEA" w:rsidRDefault="00047EF5" w:rsidP="00CF24BC">
            <w:pPr>
              <w:spacing w:after="120"/>
              <w:rPr>
                <w:rFonts w:eastAsia="Arial Unicode MS"/>
                <w:color w:val="000000"/>
                <w:sz w:val="20"/>
              </w:rPr>
            </w:pPr>
            <w:r w:rsidRPr="00D47BEA">
              <w:rPr>
                <w:sz w:val="20"/>
              </w:rPr>
              <w:t>18.3.1. Valstybės tarnybos valdymo kompetencijų centras.</w:t>
            </w:r>
          </w:p>
        </w:tc>
        <w:tc>
          <w:tcPr>
            <w:tcW w:w="7087" w:type="dxa"/>
            <w:shd w:val="clear" w:color="auto" w:fill="FFFFFF" w:themeFill="background1"/>
          </w:tcPr>
          <w:p w14:paraId="796705F3" w14:textId="77777777" w:rsidR="00047EF5" w:rsidRPr="00D47BEA" w:rsidRDefault="00047EF5" w:rsidP="00CF24BC">
            <w:pPr>
              <w:spacing w:after="120"/>
              <w:rPr>
                <w:sz w:val="20"/>
              </w:rPr>
            </w:pPr>
            <w:r w:rsidRPr="00D47BEA">
              <w:rPr>
                <w:sz w:val="20"/>
              </w:rPr>
              <w:t>Įteisinti kvalifikacijos kėlimo (mokymo) paslaugų teikėjų kvalifikacinius reikalavimus, o Valstybės tarnybos valdymo kompetencijų centrui  – pavesti valstybės tarnautojų mokymus organizuojančių kompanijų veiklos, teikiamų kvalifikacijos paslaugų kokybės priežiūrą.</w:t>
            </w:r>
          </w:p>
        </w:tc>
        <w:tc>
          <w:tcPr>
            <w:tcW w:w="1418" w:type="dxa"/>
            <w:shd w:val="clear" w:color="auto" w:fill="FFFFFF" w:themeFill="background1"/>
          </w:tcPr>
          <w:p w14:paraId="005C314B" w14:textId="77777777" w:rsidR="00047EF5" w:rsidRPr="00D47BEA" w:rsidRDefault="00047EF5" w:rsidP="00CF24BC">
            <w:pPr>
              <w:spacing w:after="120"/>
              <w:jc w:val="both"/>
              <w:rPr>
                <w:sz w:val="20"/>
              </w:rPr>
            </w:pPr>
            <w:r w:rsidRPr="00D47BEA">
              <w:rPr>
                <w:sz w:val="20"/>
              </w:rPr>
              <w:t>VRM</w:t>
            </w:r>
          </w:p>
        </w:tc>
        <w:tc>
          <w:tcPr>
            <w:tcW w:w="3402" w:type="dxa"/>
            <w:vMerge w:val="restart"/>
            <w:shd w:val="clear" w:color="auto" w:fill="FFFFFF" w:themeFill="background1"/>
          </w:tcPr>
          <w:p w14:paraId="6BDBC104" w14:textId="77777777" w:rsidR="00047EF5" w:rsidRPr="00D47BEA" w:rsidRDefault="00047EF5" w:rsidP="00CF24BC">
            <w:pPr>
              <w:spacing w:after="120"/>
              <w:rPr>
                <w:b/>
                <w:sz w:val="20"/>
              </w:rPr>
            </w:pPr>
            <w:r w:rsidRPr="00D47BEA">
              <w:rPr>
                <w:b/>
                <w:bCs/>
                <w:sz w:val="20"/>
              </w:rPr>
              <w:t>Atitinka</w:t>
            </w:r>
            <w:r w:rsidRPr="00D47BEA">
              <w:rPr>
                <w:sz w:val="20"/>
              </w:rPr>
              <w:t xml:space="preserve"> net kelis NPP tikslus, iš kurių labiausiai:</w:t>
            </w:r>
          </w:p>
          <w:p w14:paraId="6888AE30" w14:textId="77777777" w:rsidR="00047EF5" w:rsidRPr="00D47BEA" w:rsidRDefault="00047EF5" w:rsidP="00CF24BC">
            <w:pPr>
              <w:spacing w:after="120"/>
              <w:rPr>
                <w:iCs/>
                <w:sz w:val="20"/>
              </w:rPr>
            </w:pPr>
            <w:r w:rsidRPr="00D47BEA">
              <w:rPr>
                <w:b/>
                <w:sz w:val="20"/>
              </w:rPr>
              <w:t>NPP 8 strateginis tikslas.</w:t>
            </w:r>
            <w:r w:rsidRPr="00D47BEA">
              <w:rPr>
                <w:sz w:val="20"/>
              </w:rPr>
              <w:t xml:space="preserve"> Didinti teisinės sistemos ir viešojo valdymo veiksmingumą.</w:t>
            </w:r>
          </w:p>
        </w:tc>
      </w:tr>
      <w:tr w:rsidR="00047EF5" w:rsidRPr="00D47BEA" w14:paraId="5792100D" w14:textId="77777777" w:rsidTr="005C389B">
        <w:trPr>
          <w:trHeight w:val="360"/>
        </w:trPr>
        <w:tc>
          <w:tcPr>
            <w:tcW w:w="3256" w:type="dxa"/>
            <w:shd w:val="clear" w:color="auto" w:fill="FFFFFF" w:themeFill="background1"/>
          </w:tcPr>
          <w:p w14:paraId="3C71284E" w14:textId="77777777" w:rsidR="00047EF5" w:rsidRPr="00D47BEA" w:rsidRDefault="00047EF5" w:rsidP="00CF24BC">
            <w:pPr>
              <w:spacing w:after="120"/>
              <w:rPr>
                <w:rFonts w:eastAsia="Arial Unicode MS"/>
                <w:color w:val="000000"/>
                <w:sz w:val="20"/>
              </w:rPr>
            </w:pPr>
            <w:r w:rsidRPr="00D47BEA">
              <w:rPr>
                <w:bCs/>
                <w:sz w:val="20"/>
              </w:rPr>
              <w:t>18.3.3. Valstybės tarnybos reguliavimo supaprastinimas.</w:t>
            </w:r>
          </w:p>
        </w:tc>
        <w:tc>
          <w:tcPr>
            <w:tcW w:w="7087" w:type="dxa"/>
            <w:shd w:val="clear" w:color="auto" w:fill="FFFFFF" w:themeFill="background1"/>
          </w:tcPr>
          <w:p w14:paraId="5C2410FA" w14:textId="77777777" w:rsidR="00047EF5" w:rsidRPr="00D47BEA" w:rsidRDefault="00047EF5" w:rsidP="00047EF5">
            <w:pPr>
              <w:pStyle w:val="Sraopastraipa"/>
              <w:numPr>
                <w:ilvl w:val="0"/>
                <w:numId w:val="43"/>
              </w:numPr>
              <w:spacing w:after="120"/>
              <w:ind w:left="357" w:hanging="357"/>
              <w:contextualSpacing w:val="0"/>
              <w:rPr>
                <w:bCs/>
                <w:sz w:val="20"/>
              </w:rPr>
            </w:pPr>
            <w:r w:rsidRPr="00D47BEA">
              <w:rPr>
                <w:bCs/>
                <w:sz w:val="20"/>
              </w:rPr>
              <w:t>Suteikti įstaigoms įgaliojimus organizuoti valstybės tarnautojų, įskaitant ir įstaigų padalinių vadovų, bei pakaitinių valstybės tarnautojų atrankas. Priėmimo komisijos darbe galėtų dalyvauti ir VTD atstovas.</w:t>
            </w:r>
          </w:p>
          <w:p w14:paraId="6EAC1C16" w14:textId="77777777" w:rsidR="00047EF5" w:rsidRPr="00D47BEA" w:rsidRDefault="00047EF5" w:rsidP="00047EF5">
            <w:pPr>
              <w:pStyle w:val="Sraopastraipa"/>
              <w:numPr>
                <w:ilvl w:val="0"/>
                <w:numId w:val="43"/>
              </w:numPr>
              <w:spacing w:after="120"/>
              <w:ind w:left="357" w:hanging="357"/>
              <w:contextualSpacing w:val="0"/>
              <w:rPr>
                <w:bCs/>
                <w:sz w:val="20"/>
              </w:rPr>
            </w:pPr>
            <w:r w:rsidRPr="00D47BEA">
              <w:rPr>
                <w:bCs/>
                <w:sz w:val="20"/>
              </w:rPr>
              <w:t>Suteikti įstaigos vadovui teisę į laisvas valstybės tarnautojo pareigas perkelti ir pakaitinius valstybės tarnautojus. Taip pat - laikinai perkelti valstybės tarnautoją, jam prašant, į pakaitinio valstybės tarnautojo pareigas, jeigu valstybės tarnautojas atitinka tai pareigybei keliamus reikalavimus.</w:t>
            </w:r>
          </w:p>
          <w:p w14:paraId="5BBE6CF4" w14:textId="77777777" w:rsidR="00047EF5" w:rsidRPr="00D47BEA" w:rsidRDefault="00047EF5" w:rsidP="00047EF5">
            <w:pPr>
              <w:pStyle w:val="Sraopastraipa"/>
              <w:numPr>
                <w:ilvl w:val="0"/>
                <w:numId w:val="43"/>
              </w:numPr>
              <w:spacing w:after="120"/>
              <w:ind w:left="357" w:hanging="357"/>
              <w:contextualSpacing w:val="0"/>
              <w:rPr>
                <w:bCs/>
                <w:sz w:val="20"/>
                <w:szCs w:val="22"/>
              </w:rPr>
            </w:pPr>
            <w:r w:rsidRPr="00D47BEA">
              <w:rPr>
                <w:bCs/>
                <w:sz w:val="20"/>
              </w:rPr>
              <w:t xml:space="preserve">Pratęsti priemokų skyrimo laikotarpį bent iki 1 metų.  </w:t>
            </w:r>
          </w:p>
        </w:tc>
        <w:tc>
          <w:tcPr>
            <w:tcW w:w="1418" w:type="dxa"/>
            <w:shd w:val="clear" w:color="auto" w:fill="FFFFFF" w:themeFill="background1"/>
          </w:tcPr>
          <w:p w14:paraId="3366BB50" w14:textId="77777777" w:rsidR="00047EF5" w:rsidRPr="00D47BEA" w:rsidRDefault="00047EF5" w:rsidP="00CF24BC">
            <w:pPr>
              <w:spacing w:after="120"/>
              <w:jc w:val="both"/>
              <w:rPr>
                <w:sz w:val="20"/>
              </w:rPr>
            </w:pPr>
            <w:r w:rsidRPr="00D47BEA">
              <w:rPr>
                <w:sz w:val="20"/>
              </w:rPr>
              <w:t>VRM</w:t>
            </w:r>
          </w:p>
        </w:tc>
        <w:tc>
          <w:tcPr>
            <w:tcW w:w="3402" w:type="dxa"/>
            <w:vMerge/>
            <w:shd w:val="clear" w:color="auto" w:fill="FFFFFF" w:themeFill="background1"/>
          </w:tcPr>
          <w:p w14:paraId="072CAA68" w14:textId="77777777" w:rsidR="00047EF5" w:rsidRPr="00D47BEA" w:rsidRDefault="00047EF5" w:rsidP="00CF24BC">
            <w:pPr>
              <w:spacing w:after="120"/>
              <w:rPr>
                <w:iCs/>
                <w:sz w:val="20"/>
              </w:rPr>
            </w:pPr>
          </w:p>
        </w:tc>
      </w:tr>
      <w:tr w:rsidR="00047EF5" w:rsidRPr="00D47BEA" w14:paraId="3241931F" w14:textId="77777777" w:rsidTr="005C389B">
        <w:trPr>
          <w:trHeight w:val="360"/>
        </w:trPr>
        <w:tc>
          <w:tcPr>
            <w:tcW w:w="3256" w:type="dxa"/>
            <w:shd w:val="clear" w:color="auto" w:fill="FFFFFF" w:themeFill="background1"/>
          </w:tcPr>
          <w:p w14:paraId="197EAC60" w14:textId="77777777" w:rsidR="00047EF5" w:rsidRPr="00D47BEA" w:rsidRDefault="00047EF5" w:rsidP="00CF24BC">
            <w:pPr>
              <w:spacing w:after="120"/>
              <w:rPr>
                <w:rFonts w:eastAsia="Arial Unicode MS"/>
                <w:color w:val="000000"/>
                <w:sz w:val="20"/>
              </w:rPr>
            </w:pPr>
            <w:r w:rsidRPr="00D47BEA">
              <w:rPr>
                <w:bCs/>
                <w:sz w:val="20"/>
              </w:rPr>
              <w:t>18.3.4. Daugiau lankstumo specialistų lygmens valdymui.</w:t>
            </w:r>
          </w:p>
        </w:tc>
        <w:tc>
          <w:tcPr>
            <w:tcW w:w="7087" w:type="dxa"/>
            <w:shd w:val="clear" w:color="auto" w:fill="FFFFFF" w:themeFill="background1"/>
          </w:tcPr>
          <w:p w14:paraId="2BA796B3" w14:textId="77777777" w:rsidR="00047EF5" w:rsidRPr="00D47BEA" w:rsidRDefault="00047EF5" w:rsidP="00CF24BC">
            <w:pPr>
              <w:spacing w:after="120"/>
              <w:rPr>
                <w:bCs/>
                <w:iCs/>
                <w:sz w:val="20"/>
              </w:rPr>
            </w:pPr>
            <w:r w:rsidRPr="00D47BEA">
              <w:rPr>
                <w:bCs/>
                <w:iCs/>
                <w:sz w:val="20"/>
              </w:rPr>
              <w:t xml:space="preserve">Decentralizuoti ne tik specialistų, bet ir įstaigų padalinių vadovų atranką. </w:t>
            </w:r>
          </w:p>
        </w:tc>
        <w:tc>
          <w:tcPr>
            <w:tcW w:w="1418" w:type="dxa"/>
            <w:shd w:val="clear" w:color="auto" w:fill="FFFFFF" w:themeFill="background1"/>
          </w:tcPr>
          <w:p w14:paraId="574D10DD" w14:textId="77777777" w:rsidR="00047EF5" w:rsidRPr="00D47BEA" w:rsidRDefault="00047EF5" w:rsidP="00CF24BC">
            <w:pPr>
              <w:spacing w:after="120"/>
              <w:jc w:val="both"/>
              <w:rPr>
                <w:sz w:val="20"/>
              </w:rPr>
            </w:pPr>
            <w:r w:rsidRPr="00D47BEA">
              <w:rPr>
                <w:sz w:val="20"/>
              </w:rPr>
              <w:t>VRM</w:t>
            </w:r>
          </w:p>
        </w:tc>
        <w:tc>
          <w:tcPr>
            <w:tcW w:w="3402" w:type="dxa"/>
            <w:vMerge/>
            <w:shd w:val="clear" w:color="auto" w:fill="FFFFFF" w:themeFill="background1"/>
          </w:tcPr>
          <w:p w14:paraId="428CE532" w14:textId="77777777" w:rsidR="00047EF5" w:rsidRPr="00D47BEA" w:rsidRDefault="00047EF5" w:rsidP="00CF24BC">
            <w:pPr>
              <w:spacing w:after="120"/>
              <w:rPr>
                <w:iCs/>
                <w:sz w:val="20"/>
              </w:rPr>
            </w:pPr>
          </w:p>
        </w:tc>
      </w:tr>
    </w:tbl>
    <w:p w14:paraId="18B5CB94" w14:textId="77777777" w:rsidR="00047EF5" w:rsidRPr="00806533" w:rsidRDefault="00047EF5" w:rsidP="00047EF5">
      <w:pPr>
        <w:spacing w:after="120"/>
        <w:rPr>
          <w:sz w:val="20"/>
        </w:rPr>
      </w:pPr>
    </w:p>
    <w:p w14:paraId="21BF8468" w14:textId="57679438" w:rsidR="00047EF5" w:rsidRDefault="00047EF5" w:rsidP="007B3AA7">
      <w:pPr>
        <w:jc w:val="both"/>
        <w:rPr>
          <w:szCs w:val="24"/>
        </w:rPr>
      </w:pPr>
    </w:p>
    <w:p w14:paraId="3BAE19DC" w14:textId="2122EDE2" w:rsidR="005C389B" w:rsidRDefault="005C389B" w:rsidP="007B3AA7">
      <w:pPr>
        <w:jc w:val="both"/>
        <w:rPr>
          <w:szCs w:val="24"/>
        </w:rPr>
      </w:pPr>
    </w:p>
    <w:p w14:paraId="540CAC3A" w14:textId="0537FE99" w:rsidR="005C389B" w:rsidRDefault="005C389B" w:rsidP="007B3AA7">
      <w:pPr>
        <w:jc w:val="both"/>
        <w:rPr>
          <w:szCs w:val="24"/>
        </w:rPr>
      </w:pPr>
    </w:p>
    <w:p w14:paraId="7EB93611" w14:textId="25EED354" w:rsidR="005C389B" w:rsidRDefault="005C389B" w:rsidP="007B3AA7">
      <w:pPr>
        <w:jc w:val="both"/>
        <w:rPr>
          <w:szCs w:val="24"/>
        </w:rPr>
      </w:pPr>
    </w:p>
    <w:p w14:paraId="562E0A65" w14:textId="3F519D1B" w:rsidR="00595694" w:rsidRDefault="00595694" w:rsidP="007B3AA7">
      <w:pPr>
        <w:jc w:val="both"/>
        <w:rPr>
          <w:szCs w:val="24"/>
        </w:rPr>
      </w:pPr>
    </w:p>
    <w:p w14:paraId="3904FB89" w14:textId="0F3291BC" w:rsidR="00595694" w:rsidRDefault="00595694" w:rsidP="007B3AA7">
      <w:pPr>
        <w:jc w:val="both"/>
        <w:rPr>
          <w:szCs w:val="24"/>
        </w:rPr>
      </w:pPr>
    </w:p>
    <w:p w14:paraId="220DA068" w14:textId="7FCF77B7" w:rsidR="00595694" w:rsidRDefault="00595694" w:rsidP="007B3AA7">
      <w:pPr>
        <w:jc w:val="both"/>
        <w:rPr>
          <w:szCs w:val="24"/>
        </w:rPr>
      </w:pPr>
    </w:p>
    <w:p w14:paraId="5530A1B0" w14:textId="606D5B57" w:rsidR="00595694" w:rsidRDefault="00595694" w:rsidP="007B3AA7">
      <w:pPr>
        <w:jc w:val="both"/>
        <w:rPr>
          <w:szCs w:val="24"/>
        </w:rPr>
      </w:pPr>
      <w:r>
        <w:rPr>
          <w:szCs w:val="24"/>
        </w:rPr>
        <w:t>------------------------------------------</w:t>
      </w:r>
    </w:p>
    <w:p w14:paraId="45373889" w14:textId="5E55FE5B" w:rsidR="005C389B" w:rsidRDefault="005C389B" w:rsidP="007B3AA7">
      <w:pPr>
        <w:jc w:val="both"/>
        <w:rPr>
          <w:szCs w:val="24"/>
        </w:rPr>
      </w:pPr>
      <w:r w:rsidRPr="00EA6E20">
        <w:rPr>
          <w:i/>
          <w:iCs/>
          <w:szCs w:val="24"/>
        </w:rPr>
        <w:t>Tekste naudojamos santrumpos:</w:t>
      </w:r>
      <w:r w:rsidR="00595694" w:rsidRPr="00EA6E20">
        <w:rPr>
          <w:i/>
          <w:iCs/>
        </w:rPr>
        <w:t xml:space="preserve"> </w:t>
      </w:r>
      <w:r w:rsidR="00595694" w:rsidRPr="00595694">
        <w:rPr>
          <w:szCs w:val="24"/>
        </w:rPr>
        <w:t xml:space="preserve">AM – Aplinkos ministerija, EBPO – Ekonominio bendradarbiavimo ir plėtros organizacija, EIM – Ekonomikos ir inovacijų ministerija, EK – Europos Komisija, EN – Energetikos ministerija, ET – Europos Taryba, FM – Finansų ministerija, KM – Kultūros ministerija, NPP – Nacionalinis pažangos planas, RRF – </w:t>
      </w:r>
      <w:proofErr w:type="spellStart"/>
      <w:r w:rsidR="00595694" w:rsidRPr="00595694">
        <w:rPr>
          <w:szCs w:val="24"/>
        </w:rPr>
        <w:t>Recovery</w:t>
      </w:r>
      <w:proofErr w:type="spellEnd"/>
      <w:r w:rsidR="00595694" w:rsidRPr="00595694">
        <w:rPr>
          <w:szCs w:val="24"/>
        </w:rPr>
        <w:t xml:space="preserve"> </w:t>
      </w:r>
      <w:proofErr w:type="spellStart"/>
      <w:r w:rsidR="00595694" w:rsidRPr="00595694">
        <w:rPr>
          <w:szCs w:val="24"/>
        </w:rPr>
        <w:t>and</w:t>
      </w:r>
      <w:proofErr w:type="spellEnd"/>
      <w:r w:rsidR="00595694" w:rsidRPr="00595694">
        <w:rPr>
          <w:szCs w:val="24"/>
        </w:rPr>
        <w:t xml:space="preserve"> </w:t>
      </w:r>
      <w:proofErr w:type="spellStart"/>
      <w:r w:rsidR="00595694" w:rsidRPr="00595694">
        <w:rPr>
          <w:szCs w:val="24"/>
        </w:rPr>
        <w:t>Resilience</w:t>
      </w:r>
      <w:proofErr w:type="spellEnd"/>
      <w:r w:rsidR="00595694" w:rsidRPr="00595694">
        <w:rPr>
          <w:szCs w:val="24"/>
        </w:rPr>
        <w:t xml:space="preserve"> </w:t>
      </w:r>
      <w:proofErr w:type="spellStart"/>
      <w:r w:rsidR="00595694" w:rsidRPr="00595694">
        <w:rPr>
          <w:szCs w:val="24"/>
        </w:rPr>
        <w:t>Facility</w:t>
      </w:r>
      <w:proofErr w:type="spellEnd"/>
      <w:r w:rsidR="00595694" w:rsidRPr="00595694">
        <w:rPr>
          <w:szCs w:val="24"/>
        </w:rPr>
        <w:t>, SADM – Socialinės apsaugos ir darbo ministerija, SAM – Sveikatos apsaugos ministerija, SU – Susisiekimo ministerija, ŠMSM – Švietimo, mokslo ir sporto ministerija, VRM – Vidaus reikalų ministerija, ŽŪM – Žemės ūkio ministerija</w:t>
      </w:r>
      <w:r w:rsidR="00595694">
        <w:rPr>
          <w:szCs w:val="24"/>
        </w:rPr>
        <w:t>.</w:t>
      </w:r>
    </w:p>
    <w:p w14:paraId="4D04A25F" w14:textId="45D60149" w:rsidR="005C389B" w:rsidRDefault="005C389B" w:rsidP="007B3AA7">
      <w:pPr>
        <w:jc w:val="both"/>
        <w:rPr>
          <w:szCs w:val="24"/>
        </w:rPr>
      </w:pPr>
    </w:p>
    <w:p w14:paraId="12AE0B30" w14:textId="77777777" w:rsidR="005C389B" w:rsidRPr="000547F1" w:rsidRDefault="005C389B" w:rsidP="007B3AA7">
      <w:pPr>
        <w:jc w:val="both"/>
        <w:rPr>
          <w:szCs w:val="24"/>
        </w:rPr>
      </w:pPr>
    </w:p>
    <w:sectPr w:rsidR="005C389B" w:rsidRPr="000547F1" w:rsidSect="003D4E70">
      <w:headerReference w:type="default" r:id="rId8"/>
      <w:pgSz w:w="16838" w:h="11906" w:orient="landscape"/>
      <w:pgMar w:top="680" w:right="1134" w:bottom="79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0226" w14:textId="77777777" w:rsidR="007E6B02" w:rsidRDefault="007E6B02">
      <w:r>
        <w:separator/>
      </w:r>
    </w:p>
  </w:endnote>
  <w:endnote w:type="continuationSeparator" w:id="0">
    <w:p w14:paraId="7F179B85" w14:textId="77777777" w:rsidR="007E6B02" w:rsidRDefault="007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77183" w14:textId="77777777" w:rsidR="007E6B02" w:rsidRDefault="007E6B02">
      <w:r>
        <w:separator/>
      </w:r>
    </w:p>
  </w:footnote>
  <w:footnote w:type="continuationSeparator" w:id="0">
    <w:p w14:paraId="3E2F8B4A" w14:textId="77777777" w:rsidR="007E6B02" w:rsidRDefault="007E6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B2E7" w14:textId="77777777" w:rsidR="00CF24BC" w:rsidRPr="00441320" w:rsidRDefault="00CF24BC" w:rsidP="00CF24BC">
    <w:pPr>
      <w:jc w:val="center"/>
      <w:rPr>
        <w:rFonts w:ascii="TimesLT" w:hAnsi="TimesLT"/>
        <w:b/>
        <w:sz w:val="28"/>
      </w:rPr>
    </w:pPr>
  </w:p>
  <w:p w14:paraId="398EFBFE" w14:textId="77777777" w:rsidR="00CF24BC" w:rsidRPr="00441320" w:rsidRDefault="00CF24BC" w:rsidP="00CF24BC">
    <w:pPr>
      <w:jc w:val="center"/>
      <w:rPr>
        <w:rFonts w:ascii="TimesLT" w:hAnsi="TimesLT"/>
        <w:b/>
        <w:sz w:val="4"/>
      </w:rPr>
    </w:pPr>
  </w:p>
  <w:p w14:paraId="3D662254" w14:textId="77777777" w:rsidR="00CF24BC" w:rsidRPr="00441320" w:rsidRDefault="00CF24BC" w:rsidP="00CF24BC">
    <w:pPr>
      <w:jc w:val="center"/>
      <w:rPr>
        <w:rFonts w:ascii="TimesLT" w:hAnsi="TimesLT"/>
        <w:b/>
        <w:sz w:val="4"/>
      </w:rPr>
    </w:pPr>
  </w:p>
  <w:p w14:paraId="123FCF4E" w14:textId="77777777" w:rsidR="00CF24BC" w:rsidRPr="00441320" w:rsidRDefault="00CF24BC" w:rsidP="00CF24BC">
    <w:pPr>
      <w:jc w:val="center"/>
      <w:rPr>
        <w:rFonts w:ascii="TimesLT" w:hAnsi="TimesLT"/>
        <w:b/>
        <w:sz w:val="28"/>
      </w:rPr>
    </w:pPr>
  </w:p>
  <w:p w14:paraId="35008E32" w14:textId="77777777" w:rsidR="00CF24BC" w:rsidRPr="008D454D" w:rsidRDefault="00CF24BC">
    <w:pPr>
      <w:pStyle w:val="Antrat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623E56"/>
    <w:multiLevelType w:val="hybridMultilevel"/>
    <w:tmpl w:val="850CBCB8"/>
    <w:lvl w:ilvl="0" w:tplc="617074B4">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8D16D67"/>
    <w:multiLevelType w:val="hybridMultilevel"/>
    <w:tmpl w:val="006A5EBC"/>
    <w:lvl w:ilvl="0" w:tplc="56543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9343FFC"/>
    <w:multiLevelType w:val="hybridMultilevel"/>
    <w:tmpl w:val="7F0C7ABE"/>
    <w:lvl w:ilvl="0" w:tplc="2DAEDD6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6E52E0"/>
    <w:multiLevelType w:val="hybridMultilevel"/>
    <w:tmpl w:val="381624B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115A6A1E"/>
    <w:multiLevelType w:val="hybridMultilevel"/>
    <w:tmpl w:val="81981B00"/>
    <w:lvl w:ilvl="0" w:tplc="C0CCF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D8C4DB6"/>
    <w:multiLevelType w:val="hybridMultilevel"/>
    <w:tmpl w:val="737611B0"/>
    <w:lvl w:ilvl="0" w:tplc="61705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00E5F47"/>
    <w:multiLevelType w:val="hybridMultilevel"/>
    <w:tmpl w:val="19E02158"/>
    <w:lvl w:ilvl="0" w:tplc="8BD0310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185BB2"/>
    <w:multiLevelType w:val="hybridMultilevel"/>
    <w:tmpl w:val="74708BC2"/>
    <w:lvl w:ilvl="0" w:tplc="757C9E04">
      <w:start w:val="1"/>
      <w:numFmt w:val="decimal"/>
      <w:lvlText w:val="%1."/>
      <w:lvlJc w:val="left"/>
      <w:pPr>
        <w:ind w:left="1080" w:hanging="360"/>
      </w:pPr>
      <w:rPr>
        <w:rFonts w:hint="default"/>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4AB5CF3"/>
    <w:multiLevelType w:val="multilevel"/>
    <w:tmpl w:val="96FE1C76"/>
    <w:lvl w:ilvl="0">
      <w:start w:val="1"/>
      <w:numFmt w:val="decimal"/>
      <w:pStyle w:val="Koncepcija1"/>
      <w:lvlText w:val="%1."/>
      <w:lvlJc w:val="left"/>
      <w:pPr>
        <w:tabs>
          <w:tab w:val="num" w:pos="1080"/>
        </w:tabs>
        <w:ind w:left="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264A0EF4"/>
    <w:multiLevelType w:val="multilevel"/>
    <w:tmpl w:val="B8B8E1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1301A9"/>
    <w:multiLevelType w:val="multilevel"/>
    <w:tmpl w:val="AC8ACFC2"/>
    <w:styleLink w:val="LTstilius"/>
    <w:lvl w:ilvl="0">
      <w:start w:val="1"/>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2" w15:restartNumberingAfterBreak="0">
    <w:nsid w:val="2CBC55AA"/>
    <w:multiLevelType w:val="hybridMultilevel"/>
    <w:tmpl w:val="3CA62D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D834319"/>
    <w:multiLevelType w:val="hybridMultilevel"/>
    <w:tmpl w:val="F8B25DA0"/>
    <w:lvl w:ilvl="0" w:tplc="9A30CB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5C34ADE"/>
    <w:multiLevelType w:val="hybridMultilevel"/>
    <w:tmpl w:val="2004C27C"/>
    <w:lvl w:ilvl="0" w:tplc="C2BADC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6F64786"/>
    <w:multiLevelType w:val="hybridMultilevel"/>
    <w:tmpl w:val="67F8F1E6"/>
    <w:lvl w:ilvl="0" w:tplc="9F5AD002">
      <w:start w:val="1"/>
      <w:numFmt w:val="decimal"/>
      <w:lvlText w:val="%1."/>
      <w:lvlJc w:val="left"/>
      <w:pPr>
        <w:tabs>
          <w:tab w:val="num" w:pos="1744"/>
        </w:tabs>
        <w:ind w:left="1744" w:hanging="1035"/>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6" w15:restartNumberingAfterBreak="0">
    <w:nsid w:val="38F255B4"/>
    <w:multiLevelType w:val="hybridMultilevel"/>
    <w:tmpl w:val="B4A0F71A"/>
    <w:lvl w:ilvl="0" w:tplc="BF603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CAD0051"/>
    <w:multiLevelType w:val="hybridMultilevel"/>
    <w:tmpl w:val="D43CACE6"/>
    <w:lvl w:ilvl="0" w:tplc="AB3CBCE2">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D786108"/>
    <w:multiLevelType w:val="hybridMultilevel"/>
    <w:tmpl w:val="F45E4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3D9070D7"/>
    <w:multiLevelType w:val="hybridMultilevel"/>
    <w:tmpl w:val="816A26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15:restartNumberingAfterBreak="0">
    <w:nsid w:val="4041495B"/>
    <w:multiLevelType w:val="hybridMultilevel"/>
    <w:tmpl w:val="B5540B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0E70E6B"/>
    <w:multiLevelType w:val="hybridMultilevel"/>
    <w:tmpl w:val="B6C8AF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970110"/>
    <w:multiLevelType w:val="hybridMultilevel"/>
    <w:tmpl w:val="FD265932"/>
    <w:lvl w:ilvl="0" w:tplc="0427000F">
      <w:start w:val="1"/>
      <w:numFmt w:val="decimal"/>
      <w:lvlText w:val="%1."/>
      <w:lvlJc w:val="left"/>
      <w:pPr>
        <w:tabs>
          <w:tab w:val="num" w:pos="1429"/>
        </w:tabs>
        <w:ind w:left="1429" w:hanging="360"/>
      </w:pPr>
    </w:lvl>
    <w:lvl w:ilvl="1" w:tplc="04270019" w:tentative="1">
      <w:start w:val="1"/>
      <w:numFmt w:val="lowerLetter"/>
      <w:lvlText w:val="%2."/>
      <w:lvlJc w:val="left"/>
      <w:pPr>
        <w:tabs>
          <w:tab w:val="num" w:pos="2149"/>
        </w:tabs>
        <w:ind w:left="2149" w:hanging="360"/>
      </w:pPr>
    </w:lvl>
    <w:lvl w:ilvl="2" w:tplc="0427001B" w:tentative="1">
      <w:start w:val="1"/>
      <w:numFmt w:val="lowerRoman"/>
      <w:lvlText w:val="%3."/>
      <w:lvlJc w:val="right"/>
      <w:pPr>
        <w:tabs>
          <w:tab w:val="num" w:pos="2869"/>
        </w:tabs>
        <w:ind w:left="2869" w:hanging="180"/>
      </w:pPr>
    </w:lvl>
    <w:lvl w:ilvl="3" w:tplc="0427000F" w:tentative="1">
      <w:start w:val="1"/>
      <w:numFmt w:val="decimal"/>
      <w:lvlText w:val="%4."/>
      <w:lvlJc w:val="left"/>
      <w:pPr>
        <w:tabs>
          <w:tab w:val="num" w:pos="3589"/>
        </w:tabs>
        <w:ind w:left="3589" w:hanging="360"/>
      </w:pPr>
    </w:lvl>
    <w:lvl w:ilvl="4" w:tplc="04270019" w:tentative="1">
      <w:start w:val="1"/>
      <w:numFmt w:val="lowerLetter"/>
      <w:lvlText w:val="%5."/>
      <w:lvlJc w:val="left"/>
      <w:pPr>
        <w:tabs>
          <w:tab w:val="num" w:pos="4309"/>
        </w:tabs>
        <w:ind w:left="4309" w:hanging="360"/>
      </w:pPr>
    </w:lvl>
    <w:lvl w:ilvl="5" w:tplc="0427001B" w:tentative="1">
      <w:start w:val="1"/>
      <w:numFmt w:val="lowerRoman"/>
      <w:lvlText w:val="%6."/>
      <w:lvlJc w:val="right"/>
      <w:pPr>
        <w:tabs>
          <w:tab w:val="num" w:pos="5029"/>
        </w:tabs>
        <w:ind w:left="5029" w:hanging="180"/>
      </w:pPr>
    </w:lvl>
    <w:lvl w:ilvl="6" w:tplc="0427000F" w:tentative="1">
      <w:start w:val="1"/>
      <w:numFmt w:val="decimal"/>
      <w:lvlText w:val="%7."/>
      <w:lvlJc w:val="left"/>
      <w:pPr>
        <w:tabs>
          <w:tab w:val="num" w:pos="5749"/>
        </w:tabs>
        <w:ind w:left="5749" w:hanging="360"/>
      </w:pPr>
    </w:lvl>
    <w:lvl w:ilvl="7" w:tplc="04270019" w:tentative="1">
      <w:start w:val="1"/>
      <w:numFmt w:val="lowerLetter"/>
      <w:lvlText w:val="%8."/>
      <w:lvlJc w:val="left"/>
      <w:pPr>
        <w:tabs>
          <w:tab w:val="num" w:pos="6469"/>
        </w:tabs>
        <w:ind w:left="6469" w:hanging="360"/>
      </w:pPr>
    </w:lvl>
    <w:lvl w:ilvl="8" w:tplc="0427001B" w:tentative="1">
      <w:start w:val="1"/>
      <w:numFmt w:val="lowerRoman"/>
      <w:lvlText w:val="%9."/>
      <w:lvlJc w:val="right"/>
      <w:pPr>
        <w:tabs>
          <w:tab w:val="num" w:pos="7189"/>
        </w:tabs>
        <w:ind w:left="7189" w:hanging="180"/>
      </w:pPr>
    </w:lvl>
  </w:abstractNum>
  <w:abstractNum w:abstractNumId="23" w15:restartNumberingAfterBreak="0">
    <w:nsid w:val="46643E42"/>
    <w:multiLevelType w:val="multilevel"/>
    <w:tmpl w:val="AC8ACFC2"/>
    <w:numStyleLink w:val="LTstilius"/>
  </w:abstractNum>
  <w:abstractNum w:abstractNumId="24" w15:restartNumberingAfterBreak="0">
    <w:nsid w:val="48F94C9A"/>
    <w:multiLevelType w:val="hybridMultilevel"/>
    <w:tmpl w:val="E69EBFF0"/>
    <w:lvl w:ilvl="0" w:tplc="FAB8F8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D30753C"/>
    <w:multiLevelType w:val="hybridMultilevel"/>
    <w:tmpl w:val="9478401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6" w15:restartNumberingAfterBreak="0">
    <w:nsid w:val="50366E0F"/>
    <w:multiLevelType w:val="multilevel"/>
    <w:tmpl w:val="1E82C22C"/>
    <w:lvl w:ilvl="0">
      <w:start w:val="2008"/>
      <w:numFmt w:val="decimal"/>
      <w:lvlText w:val="%1"/>
      <w:lvlJc w:val="left"/>
      <w:pPr>
        <w:tabs>
          <w:tab w:val="num" w:pos="1425"/>
        </w:tabs>
        <w:ind w:left="1425" w:hanging="1425"/>
      </w:pPr>
      <w:rPr>
        <w:rFonts w:hint="default"/>
      </w:rPr>
    </w:lvl>
    <w:lvl w:ilvl="1">
      <w:start w:val="9"/>
      <w:numFmt w:val="decimalZero"/>
      <w:lvlText w:val="%1-%2"/>
      <w:lvlJc w:val="left"/>
      <w:pPr>
        <w:tabs>
          <w:tab w:val="num" w:pos="1425"/>
        </w:tabs>
        <w:ind w:left="1425" w:hanging="1425"/>
      </w:pPr>
      <w:rPr>
        <w:rFonts w:hint="default"/>
      </w:rPr>
    </w:lvl>
    <w:lvl w:ilvl="2">
      <w:start w:val="1"/>
      <w:numFmt w:val="decimalZero"/>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C569A8"/>
    <w:multiLevelType w:val="hybridMultilevel"/>
    <w:tmpl w:val="26EEDB06"/>
    <w:lvl w:ilvl="0" w:tplc="678AA46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21B1737"/>
    <w:multiLevelType w:val="multilevel"/>
    <w:tmpl w:val="CEC03D4C"/>
    <w:lvl w:ilvl="0">
      <w:start w:val="2008"/>
      <w:numFmt w:val="decimal"/>
      <w:lvlText w:val="%1-"/>
      <w:lvlJc w:val="left"/>
      <w:pPr>
        <w:tabs>
          <w:tab w:val="num" w:pos="1005"/>
        </w:tabs>
        <w:ind w:left="1005" w:hanging="1005"/>
      </w:pPr>
      <w:rPr>
        <w:rFonts w:hint="default"/>
      </w:rPr>
    </w:lvl>
    <w:lvl w:ilvl="1">
      <w:start w:val="6"/>
      <w:numFmt w:val="decimalZero"/>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617D29"/>
    <w:multiLevelType w:val="hybridMultilevel"/>
    <w:tmpl w:val="F90AA556"/>
    <w:lvl w:ilvl="0" w:tplc="4888FAF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61C319D"/>
    <w:multiLevelType w:val="hybridMultilevel"/>
    <w:tmpl w:val="C5B2E12A"/>
    <w:lvl w:ilvl="0" w:tplc="8216EA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7E419DA"/>
    <w:multiLevelType w:val="hybridMultilevel"/>
    <w:tmpl w:val="F8080D5A"/>
    <w:lvl w:ilvl="0" w:tplc="B11C12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AE8474C"/>
    <w:multiLevelType w:val="multilevel"/>
    <w:tmpl w:val="CEC03D4C"/>
    <w:lvl w:ilvl="0">
      <w:start w:val="2008"/>
      <w:numFmt w:val="decimal"/>
      <w:lvlText w:val="%1-"/>
      <w:lvlJc w:val="left"/>
      <w:pPr>
        <w:tabs>
          <w:tab w:val="num" w:pos="1005"/>
        </w:tabs>
        <w:ind w:left="1005" w:hanging="1005"/>
      </w:pPr>
      <w:rPr>
        <w:rFonts w:hint="default"/>
      </w:rPr>
    </w:lvl>
    <w:lvl w:ilvl="1">
      <w:start w:val="6"/>
      <w:numFmt w:val="decimalZero"/>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8D346A"/>
    <w:multiLevelType w:val="hybridMultilevel"/>
    <w:tmpl w:val="1180D7A4"/>
    <w:lvl w:ilvl="0" w:tplc="04270001">
      <w:start w:val="1"/>
      <w:numFmt w:val="bullet"/>
      <w:lvlText w:val=""/>
      <w:lvlJc w:val="left"/>
      <w:pPr>
        <w:ind w:left="1080" w:hanging="360"/>
      </w:pPr>
      <w:rPr>
        <w:rFonts w:ascii="Symbol" w:hAnsi="Symbol"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7C42917"/>
    <w:multiLevelType w:val="hybridMultilevel"/>
    <w:tmpl w:val="0A1ACD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9D44A0B"/>
    <w:multiLevelType w:val="multilevel"/>
    <w:tmpl w:val="AC8ACFC2"/>
    <w:numStyleLink w:val="LTstilius"/>
  </w:abstractNum>
  <w:abstractNum w:abstractNumId="36" w15:restartNumberingAfterBreak="0">
    <w:nsid w:val="6BDF0A2E"/>
    <w:multiLevelType w:val="multilevel"/>
    <w:tmpl w:val="4E92A3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C19368B"/>
    <w:multiLevelType w:val="hybridMultilevel"/>
    <w:tmpl w:val="CCE63B18"/>
    <w:lvl w:ilvl="0" w:tplc="7D523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2E47847"/>
    <w:multiLevelType w:val="hybridMultilevel"/>
    <w:tmpl w:val="2A50BEFE"/>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9" w15:restartNumberingAfterBreak="0">
    <w:nsid w:val="75B73BDF"/>
    <w:multiLevelType w:val="hybridMultilevel"/>
    <w:tmpl w:val="3932B258"/>
    <w:lvl w:ilvl="0" w:tplc="678AA46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6A265B8"/>
    <w:multiLevelType w:val="multilevel"/>
    <w:tmpl w:val="39ACE87C"/>
    <w:lvl w:ilvl="0">
      <w:start w:val="1"/>
      <w:numFmt w:val="decimal"/>
      <w:lvlText w:val="%1."/>
      <w:lvlJc w:val="left"/>
      <w:pPr>
        <w:ind w:left="360" w:hanging="360"/>
      </w:pPr>
      <w:rPr>
        <w:rFonts w:hint="default"/>
      </w:rPr>
    </w:lvl>
    <w:lvl w:ilvl="1">
      <w:start w:val="1"/>
      <w:numFmt w:val="lowerLetter"/>
      <w:lvlText w:val="%2."/>
      <w:lvlJc w:val="left"/>
      <w:pPr>
        <w:ind w:left="624" w:hanging="624"/>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1" w15:restartNumberingAfterBreak="0">
    <w:nsid w:val="770004AD"/>
    <w:multiLevelType w:val="hybridMultilevel"/>
    <w:tmpl w:val="1A9EA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BF13024"/>
    <w:multiLevelType w:val="hybridMultilevel"/>
    <w:tmpl w:val="F2C40768"/>
    <w:lvl w:ilvl="0" w:tplc="69BA60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9"/>
  </w:num>
  <w:num w:numId="3">
    <w:abstractNumId w:val="32"/>
  </w:num>
  <w:num w:numId="4">
    <w:abstractNumId w:val="28"/>
  </w:num>
  <w:num w:numId="5">
    <w:abstractNumId w:val="26"/>
  </w:num>
  <w:num w:numId="6">
    <w:abstractNumId w:val="12"/>
  </w:num>
  <w:num w:numId="7">
    <w:abstractNumId w:val="18"/>
  </w:num>
  <w:num w:numId="8">
    <w:abstractNumId w:val="22"/>
  </w:num>
  <w:num w:numId="9">
    <w:abstractNumId w:val="15"/>
  </w:num>
  <w:num w:numId="10">
    <w:abstractNumId w:val="20"/>
  </w:num>
  <w:num w:numId="11">
    <w:abstractNumId w:val="23"/>
  </w:num>
  <w:num w:numId="12">
    <w:abstractNumId w:val="11"/>
  </w:num>
  <w:num w:numId="13">
    <w:abstractNumId w:val="35"/>
  </w:num>
  <w:num w:numId="14">
    <w:abstractNumId w:val="40"/>
  </w:num>
  <w:num w:numId="15">
    <w:abstractNumId w:val="19"/>
  </w:num>
  <w:num w:numId="16">
    <w:abstractNumId w:val="25"/>
  </w:num>
  <w:num w:numId="17">
    <w:abstractNumId w:val="7"/>
  </w:num>
  <w:num w:numId="18">
    <w:abstractNumId w:val="4"/>
  </w:num>
  <w:num w:numId="19">
    <w:abstractNumId w:val="38"/>
  </w:num>
  <w:num w:numId="20">
    <w:abstractNumId w:val="5"/>
  </w:num>
  <w:num w:numId="21">
    <w:abstractNumId w:val="2"/>
  </w:num>
  <w:num w:numId="22">
    <w:abstractNumId w:val="31"/>
  </w:num>
  <w:num w:numId="23">
    <w:abstractNumId w:val="37"/>
  </w:num>
  <w:num w:numId="24">
    <w:abstractNumId w:val="13"/>
  </w:num>
  <w:num w:numId="25">
    <w:abstractNumId w:val="36"/>
  </w:num>
  <w:num w:numId="26">
    <w:abstractNumId w:val="10"/>
  </w:num>
  <w:num w:numId="27">
    <w:abstractNumId w:val="41"/>
  </w:num>
  <w:num w:numId="28">
    <w:abstractNumId w:val="1"/>
  </w:num>
  <w:num w:numId="29">
    <w:abstractNumId w:val="8"/>
  </w:num>
  <w:num w:numId="30">
    <w:abstractNumId w:val="16"/>
  </w:num>
  <w:num w:numId="31">
    <w:abstractNumId w:val="24"/>
  </w:num>
  <w:num w:numId="32">
    <w:abstractNumId w:val="6"/>
  </w:num>
  <w:num w:numId="33">
    <w:abstractNumId w:val="42"/>
  </w:num>
  <w:num w:numId="34">
    <w:abstractNumId w:val="30"/>
  </w:num>
  <w:num w:numId="35">
    <w:abstractNumId w:val="27"/>
  </w:num>
  <w:num w:numId="36">
    <w:abstractNumId w:val="17"/>
  </w:num>
  <w:num w:numId="37">
    <w:abstractNumId w:val="29"/>
  </w:num>
  <w:num w:numId="38">
    <w:abstractNumId w:val="39"/>
  </w:num>
  <w:num w:numId="39">
    <w:abstractNumId w:val="3"/>
  </w:num>
  <w:num w:numId="40">
    <w:abstractNumId w:val="34"/>
  </w:num>
  <w:num w:numId="41">
    <w:abstractNumId w:val="33"/>
  </w:num>
  <w:num w:numId="42">
    <w:abstractNumId w:val="1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AA"/>
    <w:rsid w:val="000004D3"/>
    <w:rsid w:val="00001E81"/>
    <w:rsid w:val="0000248F"/>
    <w:rsid w:val="000057CC"/>
    <w:rsid w:val="0000794F"/>
    <w:rsid w:val="00012555"/>
    <w:rsid w:val="00015D01"/>
    <w:rsid w:val="00017048"/>
    <w:rsid w:val="00020270"/>
    <w:rsid w:val="00020E91"/>
    <w:rsid w:val="000225AC"/>
    <w:rsid w:val="00022FA0"/>
    <w:rsid w:val="00025680"/>
    <w:rsid w:val="0002745A"/>
    <w:rsid w:val="00027907"/>
    <w:rsid w:val="000319A3"/>
    <w:rsid w:val="00037BD1"/>
    <w:rsid w:val="00040190"/>
    <w:rsid w:val="00044268"/>
    <w:rsid w:val="00047EF5"/>
    <w:rsid w:val="0005017E"/>
    <w:rsid w:val="00050A0B"/>
    <w:rsid w:val="00053DE6"/>
    <w:rsid w:val="000547F1"/>
    <w:rsid w:val="00057302"/>
    <w:rsid w:val="00057FA5"/>
    <w:rsid w:val="00070FEB"/>
    <w:rsid w:val="00077C44"/>
    <w:rsid w:val="000822BD"/>
    <w:rsid w:val="000865AA"/>
    <w:rsid w:val="00086C6C"/>
    <w:rsid w:val="0008723E"/>
    <w:rsid w:val="000909BB"/>
    <w:rsid w:val="0009285E"/>
    <w:rsid w:val="00093EE1"/>
    <w:rsid w:val="000A290A"/>
    <w:rsid w:val="000A2E5E"/>
    <w:rsid w:val="000A3263"/>
    <w:rsid w:val="000A70AB"/>
    <w:rsid w:val="000B0B97"/>
    <w:rsid w:val="000C151B"/>
    <w:rsid w:val="000C4509"/>
    <w:rsid w:val="000C4E5B"/>
    <w:rsid w:val="000D009D"/>
    <w:rsid w:val="000D157D"/>
    <w:rsid w:val="000D649F"/>
    <w:rsid w:val="000E4EF9"/>
    <w:rsid w:val="000F179F"/>
    <w:rsid w:val="000F3435"/>
    <w:rsid w:val="000F397B"/>
    <w:rsid w:val="000F593C"/>
    <w:rsid w:val="000F7116"/>
    <w:rsid w:val="001002DC"/>
    <w:rsid w:val="00102927"/>
    <w:rsid w:val="00111A26"/>
    <w:rsid w:val="00112BC8"/>
    <w:rsid w:val="00114BED"/>
    <w:rsid w:val="0012321A"/>
    <w:rsid w:val="001278C7"/>
    <w:rsid w:val="00131F0B"/>
    <w:rsid w:val="00140656"/>
    <w:rsid w:val="001409B5"/>
    <w:rsid w:val="00144E46"/>
    <w:rsid w:val="00145749"/>
    <w:rsid w:val="00147C77"/>
    <w:rsid w:val="00150C92"/>
    <w:rsid w:val="001518EE"/>
    <w:rsid w:val="00154B43"/>
    <w:rsid w:val="00156101"/>
    <w:rsid w:val="001566A6"/>
    <w:rsid w:val="00161F7B"/>
    <w:rsid w:val="001630F9"/>
    <w:rsid w:val="0016518F"/>
    <w:rsid w:val="0017438F"/>
    <w:rsid w:val="00183C6D"/>
    <w:rsid w:val="00194521"/>
    <w:rsid w:val="001974D4"/>
    <w:rsid w:val="001A4E0B"/>
    <w:rsid w:val="001A5394"/>
    <w:rsid w:val="001A5524"/>
    <w:rsid w:val="001A62F3"/>
    <w:rsid w:val="001B03BC"/>
    <w:rsid w:val="001B4E7C"/>
    <w:rsid w:val="001C16FC"/>
    <w:rsid w:val="001C4155"/>
    <w:rsid w:val="001C716D"/>
    <w:rsid w:val="001D0EE1"/>
    <w:rsid w:val="001D2B24"/>
    <w:rsid w:val="001D2C89"/>
    <w:rsid w:val="001D2CC0"/>
    <w:rsid w:val="001D329A"/>
    <w:rsid w:val="001D3AB0"/>
    <w:rsid w:val="001E2804"/>
    <w:rsid w:val="001E72F1"/>
    <w:rsid w:val="001F20ED"/>
    <w:rsid w:val="001F33D8"/>
    <w:rsid w:val="001F37FA"/>
    <w:rsid w:val="001F3AEC"/>
    <w:rsid w:val="00206AC7"/>
    <w:rsid w:val="0021160C"/>
    <w:rsid w:val="00212BA5"/>
    <w:rsid w:val="00215F9E"/>
    <w:rsid w:val="00217DA3"/>
    <w:rsid w:val="00217F81"/>
    <w:rsid w:val="00222C29"/>
    <w:rsid w:val="00223AEB"/>
    <w:rsid w:val="002258AE"/>
    <w:rsid w:val="00225C83"/>
    <w:rsid w:val="00227AE7"/>
    <w:rsid w:val="002338F7"/>
    <w:rsid w:val="00234893"/>
    <w:rsid w:val="00245027"/>
    <w:rsid w:val="00253120"/>
    <w:rsid w:val="00257805"/>
    <w:rsid w:val="00260D69"/>
    <w:rsid w:val="002617CB"/>
    <w:rsid w:val="0026201F"/>
    <w:rsid w:val="0026572F"/>
    <w:rsid w:val="00266175"/>
    <w:rsid w:val="00267665"/>
    <w:rsid w:val="002704E2"/>
    <w:rsid w:val="00274AE7"/>
    <w:rsid w:val="00275DA2"/>
    <w:rsid w:val="00282536"/>
    <w:rsid w:val="0028555E"/>
    <w:rsid w:val="00291276"/>
    <w:rsid w:val="00291579"/>
    <w:rsid w:val="00296A71"/>
    <w:rsid w:val="00297C20"/>
    <w:rsid w:val="002A1C09"/>
    <w:rsid w:val="002B1E76"/>
    <w:rsid w:val="002B20C6"/>
    <w:rsid w:val="002B43DD"/>
    <w:rsid w:val="002B46AF"/>
    <w:rsid w:val="002B4B0B"/>
    <w:rsid w:val="002C129B"/>
    <w:rsid w:val="002C2BA9"/>
    <w:rsid w:val="002D21F2"/>
    <w:rsid w:val="002D2AC4"/>
    <w:rsid w:val="002D383A"/>
    <w:rsid w:val="002D63DE"/>
    <w:rsid w:val="002D7195"/>
    <w:rsid w:val="002E03F1"/>
    <w:rsid w:val="002E4433"/>
    <w:rsid w:val="002E53D4"/>
    <w:rsid w:val="002E5497"/>
    <w:rsid w:val="002E5632"/>
    <w:rsid w:val="002F07B7"/>
    <w:rsid w:val="002F1D28"/>
    <w:rsid w:val="002F3FF8"/>
    <w:rsid w:val="002F4104"/>
    <w:rsid w:val="002F7D54"/>
    <w:rsid w:val="00304973"/>
    <w:rsid w:val="003075A1"/>
    <w:rsid w:val="00313389"/>
    <w:rsid w:val="00317511"/>
    <w:rsid w:val="00321F17"/>
    <w:rsid w:val="003260AB"/>
    <w:rsid w:val="00327B60"/>
    <w:rsid w:val="003300AC"/>
    <w:rsid w:val="0033014C"/>
    <w:rsid w:val="003316E7"/>
    <w:rsid w:val="0033191F"/>
    <w:rsid w:val="00333C81"/>
    <w:rsid w:val="00335451"/>
    <w:rsid w:val="003358C3"/>
    <w:rsid w:val="003371BC"/>
    <w:rsid w:val="00340033"/>
    <w:rsid w:val="00353365"/>
    <w:rsid w:val="00354B38"/>
    <w:rsid w:val="00354DB6"/>
    <w:rsid w:val="00355656"/>
    <w:rsid w:val="00355742"/>
    <w:rsid w:val="00356D8D"/>
    <w:rsid w:val="00357494"/>
    <w:rsid w:val="003629DC"/>
    <w:rsid w:val="00364128"/>
    <w:rsid w:val="003648A1"/>
    <w:rsid w:val="0036561E"/>
    <w:rsid w:val="00372B3D"/>
    <w:rsid w:val="00374934"/>
    <w:rsid w:val="003775A4"/>
    <w:rsid w:val="00380B64"/>
    <w:rsid w:val="00386E7F"/>
    <w:rsid w:val="00390196"/>
    <w:rsid w:val="00392451"/>
    <w:rsid w:val="003926CE"/>
    <w:rsid w:val="00394C55"/>
    <w:rsid w:val="00394DA4"/>
    <w:rsid w:val="003A2C51"/>
    <w:rsid w:val="003B2949"/>
    <w:rsid w:val="003B2C72"/>
    <w:rsid w:val="003B3023"/>
    <w:rsid w:val="003B3089"/>
    <w:rsid w:val="003B59BF"/>
    <w:rsid w:val="003C118D"/>
    <w:rsid w:val="003C35A1"/>
    <w:rsid w:val="003C7B27"/>
    <w:rsid w:val="003D16C5"/>
    <w:rsid w:val="003D3BF8"/>
    <w:rsid w:val="003D4E70"/>
    <w:rsid w:val="003D7048"/>
    <w:rsid w:val="003D7F91"/>
    <w:rsid w:val="003E09B4"/>
    <w:rsid w:val="003E10AA"/>
    <w:rsid w:val="003E7FD9"/>
    <w:rsid w:val="003F3959"/>
    <w:rsid w:val="004009A6"/>
    <w:rsid w:val="004015D7"/>
    <w:rsid w:val="0040754F"/>
    <w:rsid w:val="004079CA"/>
    <w:rsid w:val="00407B93"/>
    <w:rsid w:val="00411B14"/>
    <w:rsid w:val="00414D7B"/>
    <w:rsid w:val="004206AF"/>
    <w:rsid w:val="00420876"/>
    <w:rsid w:val="004233DC"/>
    <w:rsid w:val="004269A2"/>
    <w:rsid w:val="0042706A"/>
    <w:rsid w:val="00430633"/>
    <w:rsid w:val="00431A29"/>
    <w:rsid w:val="00436B6B"/>
    <w:rsid w:val="004403F2"/>
    <w:rsid w:val="00447C57"/>
    <w:rsid w:val="004531A3"/>
    <w:rsid w:val="004575C3"/>
    <w:rsid w:val="00460B57"/>
    <w:rsid w:val="00465018"/>
    <w:rsid w:val="004703AA"/>
    <w:rsid w:val="00470949"/>
    <w:rsid w:val="004736D8"/>
    <w:rsid w:val="004768F3"/>
    <w:rsid w:val="00485286"/>
    <w:rsid w:val="004868D4"/>
    <w:rsid w:val="00486BAC"/>
    <w:rsid w:val="00487091"/>
    <w:rsid w:val="0049185D"/>
    <w:rsid w:val="00493D2F"/>
    <w:rsid w:val="00497ADD"/>
    <w:rsid w:val="004A0949"/>
    <w:rsid w:val="004A0B4A"/>
    <w:rsid w:val="004A31BF"/>
    <w:rsid w:val="004A59C6"/>
    <w:rsid w:val="004A79AE"/>
    <w:rsid w:val="004B4B72"/>
    <w:rsid w:val="004B71DC"/>
    <w:rsid w:val="004B7E2E"/>
    <w:rsid w:val="004C12CA"/>
    <w:rsid w:val="004C1FCB"/>
    <w:rsid w:val="004D0127"/>
    <w:rsid w:val="004D1BED"/>
    <w:rsid w:val="004E24EF"/>
    <w:rsid w:val="004E4D41"/>
    <w:rsid w:val="004F2761"/>
    <w:rsid w:val="004F3123"/>
    <w:rsid w:val="0050160D"/>
    <w:rsid w:val="00501E7E"/>
    <w:rsid w:val="00503236"/>
    <w:rsid w:val="005039F0"/>
    <w:rsid w:val="0050521C"/>
    <w:rsid w:val="005062A0"/>
    <w:rsid w:val="00507A39"/>
    <w:rsid w:val="00510BB4"/>
    <w:rsid w:val="005165EE"/>
    <w:rsid w:val="00517F60"/>
    <w:rsid w:val="00523C8F"/>
    <w:rsid w:val="00525FDE"/>
    <w:rsid w:val="005347FE"/>
    <w:rsid w:val="00541493"/>
    <w:rsid w:val="00544C50"/>
    <w:rsid w:val="00545C46"/>
    <w:rsid w:val="005462F0"/>
    <w:rsid w:val="005518ED"/>
    <w:rsid w:val="00553F8F"/>
    <w:rsid w:val="0055456B"/>
    <w:rsid w:val="00554885"/>
    <w:rsid w:val="005566BE"/>
    <w:rsid w:val="005577F4"/>
    <w:rsid w:val="00572DB2"/>
    <w:rsid w:val="005737A8"/>
    <w:rsid w:val="00574757"/>
    <w:rsid w:val="00575D13"/>
    <w:rsid w:val="005816CE"/>
    <w:rsid w:val="005838F9"/>
    <w:rsid w:val="00587A54"/>
    <w:rsid w:val="00591484"/>
    <w:rsid w:val="00592B43"/>
    <w:rsid w:val="00595694"/>
    <w:rsid w:val="00595F27"/>
    <w:rsid w:val="005B1E03"/>
    <w:rsid w:val="005B4AA6"/>
    <w:rsid w:val="005C07C8"/>
    <w:rsid w:val="005C1F84"/>
    <w:rsid w:val="005C389B"/>
    <w:rsid w:val="005D21F7"/>
    <w:rsid w:val="005D380C"/>
    <w:rsid w:val="005D5237"/>
    <w:rsid w:val="005E24C0"/>
    <w:rsid w:val="005F0572"/>
    <w:rsid w:val="005F72DC"/>
    <w:rsid w:val="00601BDC"/>
    <w:rsid w:val="006034C6"/>
    <w:rsid w:val="0061193F"/>
    <w:rsid w:val="00613BF7"/>
    <w:rsid w:val="00614C3E"/>
    <w:rsid w:val="00615680"/>
    <w:rsid w:val="006158BE"/>
    <w:rsid w:val="00616A7F"/>
    <w:rsid w:val="00616AD5"/>
    <w:rsid w:val="00621BF9"/>
    <w:rsid w:val="00622985"/>
    <w:rsid w:val="00622F47"/>
    <w:rsid w:val="006324C3"/>
    <w:rsid w:val="006363DA"/>
    <w:rsid w:val="00636E85"/>
    <w:rsid w:val="00637245"/>
    <w:rsid w:val="00637692"/>
    <w:rsid w:val="006420E9"/>
    <w:rsid w:val="00643615"/>
    <w:rsid w:val="0064487E"/>
    <w:rsid w:val="00646788"/>
    <w:rsid w:val="0065383D"/>
    <w:rsid w:val="00661131"/>
    <w:rsid w:val="00662E41"/>
    <w:rsid w:val="0066331A"/>
    <w:rsid w:val="00664C54"/>
    <w:rsid w:val="006700EA"/>
    <w:rsid w:val="00670A63"/>
    <w:rsid w:val="00671FA6"/>
    <w:rsid w:val="0067617F"/>
    <w:rsid w:val="00684B18"/>
    <w:rsid w:val="0068764E"/>
    <w:rsid w:val="006A363B"/>
    <w:rsid w:val="006A3917"/>
    <w:rsid w:val="006A47A3"/>
    <w:rsid w:val="006A4AB7"/>
    <w:rsid w:val="006A5EAD"/>
    <w:rsid w:val="006B284D"/>
    <w:rsid w:val="006B6588"/>
    <w:rsid w:val="006C06DB"/>
    <w:rsid w:val="006C21F9"/>
    <w:rsid w:val="006C3DDB"/>
    <w:rsid w:val="006C728C"/>
    <w:rsid w:val="006D03AF"/>
    <w:rsid w:val="006D2A94"/>
    <w:rsid w:val="006D5F4A"/>
    <w:rsid w:val="006F0142"/>
    <w:rsid w:val="006F0D48"/>
    <w:rsid w:val="006F7178"/>
    <w:rsid w:val="007023FC"/>
    <w:rsid w:val="0070273A"/>
    <w:rsid w:val="007030BC"/>
    <w:rsid w:val="00703D43"/>
    <w:rsid w:val="00704920"/>
    <w:rsid w:val="007054FC"/>
    <w:rsid w:val="00705734"/>
    <w:rsid w:val="0070684B"/>
    <w:rsid w:val="00707E8B"/>
    <w:rsid w:val="00714919"/>
    <w:rsid w:val="00714F14"/>
    <w:rsid w:val="00715400"/>
    <w:rsid w:val="00721A6C"/>
    <w:rsid w:val="00722B9C"/>
    <w:rsid w:val="00730110"/>
    <w:rsid w:val="0073278C"/>
    <w:rsid w:val="00732E96"/>
    <w:rsid w:val="00736911"/>
    <w:rsid w:val="00736F1B"/>
    <w:rsid w:val="00741CEA"/>
    <w:rsid w:val="007512B8"/>
    <w:rsid w:val="007518C6"/>
    <w:rsid w:val="007530DB"/>
    <w:rsid w:val="00753164"/>
    <w:rsid w:val="00753561"/>
    <w:rsid w:val="007554E4"/>
    <w:rsid w:val="007571FC"/>
    <w:rsid w:val="00760944"/>
    <w:rsid w:val="0076192F"/>
    <w:rsid w:val="0076288D"/>
    <w:rsid w:val="0076574C"/>
    <w:rsid w:val="0076742E"/>
    <w:rsid w:val="00767F05"/>
    <w:rsid w:val="00772BF8"/>
    <w:rsid w:val="00774037"/>
    <w:rsid w:val="00781DA2"/>
    <w:rsid w:val="0078439B"/>
    <w:rsid w:val="007845A2"/>
    <w:rsid w:val="00786AE1"/>
    <w:rsid w:val="0078730A"/>
    <w:rsid w:val="00793593"/>
    <w:rsid w:val="00794615"/>
    <w:rsid w:val="007A4E65"/>
    <w:rsid w:val="007A68D1"/>
    <w:rsid w:val="007B3AA7"/>
    <w:rsid w:val="007B4677"/>
    <w:rsid w:val="007B4CF7"/>
    <w:rsid w:val="007C1F08"/>
    <w:rsid w:val="007C4A77"/>
    <w:rsid w:val="007C717A"/>
    <w:rsid w:val="007D6951"/>
    <w:rsid w:val="007D7377"/>
    <w:rsid w:val="007E37D0"/>
    <w:rsid w:val="007E5264"/>
    <w:rsid w:val="007E682C"/>
    <w:rsid w:val="007E6B02"/>
    <w:rsid w:val="007F0F63"/>
    <w:rsid w:val="007F77A1"/>
    <w:rsid w:val="00804795"/>
    <w:rsid w:val="008049E4"/>
    <w:rsid w:val="00805A18"/>
    <w:rsid w:val="00810446"/>
    <w:rsid w:val="00813FE8"/>
    <w:rsid w:val="0082075F"/>
    <w:rsid w:val="00822AD7"/>
    <w:rsid w:val="00824CD1"/>
    <w:rsid w:val="008307BD"/>
    <w:rsid w:val="008311FA"/>
    <w:rsid w:val="00857602"/>
    <w:rsid w:val="008622B9"/>
    <w:rsid w:val="00865087"/>
    <w:rsid w:val="0086522E"/>
    <w:rsid w:val="008729E8"/>
    <w:rsid w:val="0087602C"/>
    <w:rsid w:val="00877BB4"/>
    <w:rsid w:val="00883729"/>
    <w:rsid w:val="00887641"/>
    <w:rsid w:val="00893958"/>
    <w:rsid w:val="00894F2F"/>
    <w:rsid w:val="00897AEA"/>
    <w:rsid w:val="008A0AA3"/>
    <w:rsid w:val="008A25EC"/>
    <w:rsid w:val="008A2C2D"/>
    <w:rsid w:val="008B6104"/>
    <w:rsid w:val="008C094B"/>
    <w:rsid w:val="008C0E3B"/>
    <w:rsid w:val="008C0F77"/>
    <w:rsid w:val="008D38B5"/>
    <w:rsid w:val="008D6E8F"/>
    <w:rsid w:val="008E2C0B"/>
    <w:rsid w:val="008F0620"/>
    <w:rsid w:val="008F6897"/>
    <w:rsid w:val="00903384"/>
    <w:rsid w:val="0090501E"/>
    <w:rsid w:val="00907BC2"/>
    <w:rsid w:val="00907F9E"/>
    <w:rsid w:val="00911B40"/>
    <w:rsid w:val="009210DD"/>
    <w:rsid w:val="00923CF8"/>
    <w:rsid w:val="009256C9"/>
    <w:rsid w:val="009310C0"/>
    <w:rsid w:val="00937633"/>
    <w:rsid w:val="00941FA3"/>
    <w:rsid w:val="00946323"/>
    <w:rsid w:val="00950990"/>
    <w:rsid w:val="009525F7"/>
    <w:rsid w:val="0095439D"/>
    <w:rsid w:val="009600CE"/>
    <w:rsid w:val="00960A58"/>
    <w:rsid w:val="00961D68"/>
    <w:rsid w:val="00967F06"/>
    <w:rsid w:val="0097609E"/>
    <w:rsid w:val="00983CC8"/>
    <w:rsid w:val="00987B9B"/>
    <w:rsid w:val="00991A4E"/>
    <w:rsid w:val="00992DE4"/>
    <w:rsid w:val="00995E56"/>
    <w:rsid w:val="009A02E5"/>
    <w:rsid w:val="009A314E"/>
    <w:rsid w:val="009A3F2A"/>
    <w:rsid w:val="009A66F7"/>
    <w:rsid w:val="009B2F14"/>
    <w:rsid w:val="009B6239"/>
    <w:rsid w:val="009B751B"/>
    <w:rsid w:val="009C0ABB"/>
    <w:rsid w:val="009C68F7"/>
    <w:rsid w:val="009C712D"/>
    <w:rsid w:val="009D0D3D"/>
    <w:rsid w:val="009D1354"/>
    <w:rsid w:val="009D5C30"/>
    <w:rsid w:val="009D76B8"/>
    <w:rsid w:val="009D7EB1"/>
    <w:rsid w:val="009E5720"/>
    <w:rsid w:val="009F222A"/>
    <w:rsid w:val="009F5C18"/>
    <w:rsid w:val="009F7D0D"/>
    <w:rsid w:val="00A04361"/>
    <w:rsid w:val="00A07FF0"/>
    <w:rsid w:val="00A17595"/>
    <w:rsid w:val="00A2014F"/>
    <w:rsid w:val="00A21521"/>
    <w:rsid w:val="00A226E0"/>
    <w:rsid w:val="00A24260"/>
    <w:rsid w:val="00A27E0A"/>
    <w:rsid w:val="00A30CB2"/>
    <w:rsid w:val="00A4277A"/>
    <w:rsid w:val="00A42869"/>
    <w:rsid w:val="00A45F37"/>
    <w:rsid w:val="00A5037C"/>
    <w:rsid w:val="00A503E2"/>
    <w:rsid w:val="00A53929"/>
    <w:rsid w:val="00A55F0A"/>
    <w:rsid w:val="00A604A2"/>
    <w:rsid w:val="00A610FA"/>
    <w:rsid w:val="00A63504"/>
    <w:rsid w:val="00A63B46"/>
    <w:rsid w:val="00A64C74"/>
    <w:rsid w:val="00A67341"/>
    <w:rsid w:val="00A71882"/>
    <w:rsid w:val="00A73560"/>
    <w:rsid w:val="00A74B35"/>
    <w:rsid w:val="00A74DBF"/>
    <w:rsid w:val="00A76CA5"/>
    <w:rsid w:val="00A81BAC"/>
    <w:rsid w:val="00A84D05"/>
    <w:rsid w:val="00A86F3E"/>
    <w:rsid w:val="00A91519"/>
    <w:rsid w:val="00A94035"/>
    <w:rsid w:val="00AA148B"/>
    <w:rsid w:val="00AB1AA3"/>
    <w:rsid w:val="00AB3041"/>
    <w:rsid w:val="00AB5C60"/>
    <w:rsid w:val="00AB60D3"/>
    <w:rsid w:val="00AC02D3"/>
    <w:rsid w:val="00AC397F"/>
    <w:rsid w:val="00AD03E6"/>
    <w:rsid w:val="00AD19D7"/>
    <w:rsid w:val="00AD264E"/>
    <w:rsid w:val="00AD2F9B"/>
    <w:rsid w:val="00AD4D43"/>
    <w:rsid w:val="00AE6061"/>
    <w:rsid w:val="00AF3F95"/>
    <w:rsid w:val="00AF409F"/>
    <w:rsid w:val="00AF4568"/>
    <w:rsid w:val="00B038D5"/>
    <w:rsid w:val="00B105F0"/>
    <w:rsid w:val="00B141D3"/>
    <w:rsid w:val="00B14387"/>
    <w:rsid w:val="00B21AA8"/>
    <w:rsid w:val="00B24879"/>
    <w:rsid w:val="00B32590"/>
    <w:rsid w:val="00B33B85"/>
    <w:rsid w:val="00B34178"/>
    <w:rsid w:val="00B37108"/>
    <w:rsid w:val="00B416B4"/>
    <w:rsid w:val="00B45ECD"/>
    <w:rsid w:val="00B47D0C"/>
    <w:rsid w:val="00B50B9D"/>
    <w:rsid w:val="00B5159E"/>
    <w:rsid w:val="00B55770"/>
    <w:rsid w:val="00B611C3"/>
    <w:rsid w:val="00B61BB4"/>
    <w:rsid w:val="00B7074E"/>
    <w:rsid w:val="00B7534B"/>
    <w:rsid w:val="00B824A5"/>
    <w:rsid w:val="00B85A1C"/>
    <w:rsid w:val="00B911DA"/>
    <w:rsid w:val="00B92A29"/>
    <w:rsid w:val="00BA0014"/>
    <w:rsid w:val="00BA05E6"/>
    <w:rsid w:val="00BA15FD"/>
    <w:rsid w:val="00BB478E"/>
    <w:rsid w:val="00BB50C6"/>
    <w:rsid w:val="00BB5BA0"/>
    <w:rsid w:val="00BB6007"/>
    <w:rsid w:val="00BC118D"/>
    <w:rsid w:val="00BC2448"/>
    <w:rsid w:val="00BC2B03"/>
    <w:rsid w:val="00BC458F"/>
    <w:rsid w:val="00BC5E4E"/>
    <w:rsid w:val="00BC6DD7"/>
    <w:rsid w:val="00BC7011"/>
    <w:rsid w:val="00BD30F9"/>
    <w:rsid w:val="00BD682E"/>
    <w:rsid w:val="00BD7CFD"/>
    <w:rsid w:val="00BE05A9"/>
    <w:rsid w:val="00BE1E9C"/>
    <w:rsid w:val="00BE3650"/>
    <w:rsid w:val="00BF3A0E"/>
    <w:rsid w:val="00C00713"/>
    <w:rsid w:val="00C07340"/>
    <w:rsid w:val="00C12479"/>
    <w:rsid w:val="00C1751C"/>
    <w:rsid w:val="00C17F6A"/>
    <w:rsid w:val="00C26174"/>
    <w:rsid w:val="00C30526"/>
    <w:rsid w:val="00C30D4D"/>
    <w:rsid w:val="00C3559F"/>
    <w:rsid w:val="00C401FB"/>
    <w:rsid w:val="00C41961"/>
    <w:rsid w:val="00C42194"/>
    <w:rsid w:val="00C42DFA"/>
    <w:rsid w:val="00C46C61"/>
    <w:rsid w:val="00C46E3B"/>
    <w:rsid w:val="00C5050D"/>
    <w:rsid w:val="00C529B6"/>
    <w:rsid w:val="00C55F7D"/>
    <w:rsid w:val="00C63051"/>
    <w:rsid w:val="00C668BF"/>
    <w:rsid w:val="00C81C67"/>
    <w:rsid w:val="00C84CC4"/>
    <w:rsid w:val="00C87069"/>
    <w:rsid w:val="00C879D5"/>
    <w:rsid w:val="00C925E3"/>
    <w:rsid w:val="00C94953"/>
    <w:rsid w:val="00C95B4D"/>
    <w:rsid w:val="00CB13AC"/>
    <w:rsid w:val="00CB1868"/>
    <w:rsid w:val="00CB6360"/>
    <w:rsid w:val="00CC1FFD"/>
    <w:rsid w:val="00CC40CE"/>
    <w:rsid w:val="00CC5234"/>
    <w:rsid w:val="00CD1321"/>
    <w:rsid w:val="00CD27D9"/>
    <w:rsid w:val="00CE2348"/>
    <w:rsid w:val="00CF24BC"/>
    <w:rsid w:val="00CF40D4"/>
    <w:rsid w:val="00CF6378"/>
    <w:rsid w:val="00D0166E"/>
    <w:rsid w:val="00D0292D"/>
    <w:rsid w:val="00D03131"/>
    <w:rsid w:val="00D05B7B"/>
    <w:rsid w:val="00D05FF7"/>
    <w:rsid w:val="00D0668A"/>
    <w:rsid w:val="00D11C5F"/>
    <w:rsid w:val="00D132F4"/>
    <w:rsid w:val="00D169FF"/>
    <w:rsid w:val="00D17A91"/>
    <w:rsid w:val="00D24550"/>
    <w:rsid w:val="00D27E42"/>
    <w:rsid w:val="00D319E3"/>
    <w:rsid w:val="00D34C07"/>
    <w:rsid w:val="00D362BD"/>
    <w:rsid w:val="00D42ED6"/>
    <w:rsid w:val="00D432B0"/>
    <w:rsid w:val="00D47997"/>
    <w:rsid w:val="00D570C2"/>
    <w:rsid w:val="00D61CAA"/>
    <w:rsid w:val="00D6621B"/>
    <w:rsid w:val="00D873AA"/>
    <w:rsid w:val="00D90005"/>
    <w:rsid w:val="00D95985"/>
    <w:rsid w:val="00DA28A8"/>
    <w:rsid w:val="00DA476D"/>
    <w:rsid w:val="00DA47D2"/>
    <w:rsid w:val="00DB4956"/>
    <w:rsid w:val="00DC3E7E"/>
    <w:rsid w:val="00DC7EFB"/>
    <w:rsid w:val="00DD04AB"/>
    <w:rsid w:val="00DD645D"/>
    <w:rsid w:val="00DE1201"/>
    <w:rsid w:val="00DE2630"/>
    <w:rsid w:val="00DE3B6D"/>
    <w:rsid w:val="00DE3F9C"/>
    <w:rsid w:val="00DE436B"/>
    <w:rsid w:val="00DE5140"/>
    <w:rsid w:val="00DE5D28"/>
    <w:rsid w:val="00DE642C"/>
    <w:rsid w:val="00DF49CD"/>
    <w:rsid w:val="00E00992"/>
    <w:rsid w:val="00E012A8"/>
    <w:rsid w:val="00E01EC8"/>
    <w:rsid w:val="00E036F5"/>
    <w:rsid w:val="00E0482E"/>
    <w:rsid w:val="00E110A9"/>
    <w:rsid w:val="00E1135C"/>
    <w:rsid w:val="00E11767"/>
    <w:rsid w:val="00E11C73"/>
    <w:rsid w:val="00E13F66"/>
    <w:rsid w:val="00E16189"/>
    <w:rsid w:val="00E2024E"/>
    <w:rsid w:val="00E21FF4"/>
    <w:rsid w:val="00E237B6"/>
    <w:rsid w:val="00E2553F"/>
    <w:rsid w:val="00E2652B"/>
    <w:rsid w:val="00E32635"/>
    <w:rsid w:val="00E329EA"/>
    <w:rsid w:val="00E33453"/>
    <w:rsid w:val="00E3582C"/>
    <w:rsid w:val="00E440F9"/>
    <w:rsid w:val="00E4675F"/>
    <w:rsid w:val="00E5413B"/>
    <w:rsid w:val="00E5549E"/>
    <w:rsid w:val="00E55814"/>
    <w:rsid w:val="00E57461"/>
    <w:rsid w:val="00E60843"/>
    <w:rsid w:val="00E61715"/>
    <w:rsid w:val="00E630C0"/>
    <w:rsid w:val="00E667CF"/>
    <w:rsid w:val="00E730A9"/>
    <w:rsid w:val="00E822AF"/>
    <w:rsid w:val="00E84C18"/>
    <w:rsid w:val="00E851CF"/>
    <w:rsid w:val="00E852F9"/>
    <w:rsid w:val="00E90A65"/>
    <w:rsid w:val="00EA0E6D"/>
    <w:rsid w:val="00EA32D3"/>
    <w:rsid w:val="00EA6E20"/>
    <w:rsid w:val="00EB2EEC"/>
    <w:rsid w:val="00EB352F"/>
    <w:rsid w:val="00EB5AB3"/>
    <w:rsid w:val="00EB6C89"/>
    <w:rsid w:val="00EB6E08"/>
    <w:rsid w:val="00EB7E4C"/>
    <w:rsid w:val="00EC4BBB"/>
    <w:rsid w:val="00ED2408"/>
    <w:rsid w:val="00ED2562"/>
    <w:rsid w:val="00ED7DF2"/>
    <w:rsid w:val="00EE2E3F"/>
    <w:rsid w:val="00EE35A2"/>
    <w:rsid w:val="00EE7EE5"/>
    <w:rsid w:val="00EF42D3"/>
    <w:rsid w:val="00F009EC"/>
    <w:rsid w:val="00F01A8F"/>
    <w:rsid w:val="00F028BF"/>
    <w:rsid w:val="00F11D7E"/>
    <w:rsid w:val="00F12458"/>
    <w:rsid w:val="00F16B14"/>
    <w:rsid w:val="00F16E13"/>
    <w:rsid w:val="00F2074B"/>
    <w:rsid w:val="00F221E0"/>
    <w:rsid w:val="00F22EA2"/>
    <w:rsid w:val="00F248A4"/>
    <w:rsid w:val="00F25B63"/>
    <w:rsid w:val="00F33DBD"/>
    <w:rsid w:val="00F3432F"/>
    <w:rsid w:val="00F3479C"/>
    <w:rsid w:val="00F34ABF"/>
    <w:rsid w:val="00F34D40"/>
    <w:rsid w:val="00F42054"/>
    <w:rsid w:val="00F438CB"/>
    <w:rsid w:val="00F46544"/>
    <w:rsid w:val="00F51F3B"/>
    <w:rsid w:val="00F54DD5"/>
    <w:rsid w:val="00F56B54"/>
    <w:rsid w:val="00F57314"/>
    <w:rsid w:val="00F6014E"/>
    <w:rsid w:val="00F61FE9"/>
    <w:rsid w:val="00F660B5"/>
    <w:rsid w:val="00F72B6C"/>
    <w:rsid w:val="00F74881"/>
    <w:rsid w:val="00F77E3A"/>
    <w:rsid w:val="00F8086D"/>
    <w:rsid w:val="00F82382"/>
    <w:rsid w:val="00F86337"/>
    <w:rsid w:val="00F91DDE"/>
    <w:rsid w:val="00F92938"/>
    <w:rsid w:val="00F92F0A"/>
    <w:rsid w:val="00F94C43"/>
    <w:rsid w:val="00FA2FCD"/>
    <w:rsid w:val="00FA61C1"/>
    <w:rsid w:val="00FA6FBA"/>
    <w:rsid w:val="00FB3D22"/>
    <w:rsid w:val="00FB440E"/>
    <w:rsid w:val="00FB5633"/>
    <w:rsid w:val="00FB58D9"/>
    <w:rsid w:val="00FB5BDF"/>
    <w:rsid w:val="00FB6356"/>
    <w:rsid w:val="00FB6FB7"/>
    <w:rsid w:val="00FC008B"/>
    <w:rsid w:val="00FC0E41"/>
    <w:rsid w:val="00FC1A98"/>
    <w:rsid w:val="00FC34D2"/>
    <w:rsid w:val="00FC38B3"/>
    <w:rsid w:val="00FC7113"/>
    <w:rsid w:val="00FD0DBA"/>
    <w:rsid w:val="00FD31CF"/>
    <w:rsid w:val="00FD3AF6"/>
    <w:rsid w:val="00FE4BCC"/>
    <w:rsid w:val="00FF4FE0"/>
    <w:rsid w:val="00FF6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AD162"/>
  <w15:docId w15:val="{35375EAF-8C0C-4AE8-A94B-2DFDFECB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numPr>
        <w:numId w:val="1"/>
      </w:numPr>
      <w:suppressAutoHyphens/>
      <w:jc w:val="center"/>
      <w:outlineLvl w:val="0"/>
    </w:pPr>
    <w:rPr>
      <w:rFonts w:ascii="Arial" w:hAnsi="Arial"/>
      <w:sz w:val="28"/>
      <w:lang w:val="en-AU" w:eastAsia="ar-SA"/>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720"/>
    </w:pPr>
  </w:style>
  <w:style w:type="paragraph" w:styleId="Pagrindinistekstas2">
    <w:name w:val="Body Text 2"/>
    <w:basedOn w:val="prastasis"/>
    <w:rPr>
      <w:bCs/>
      <w:iCs/>
      <w:sz w:val="20"/>
    </w:rPr>
  </w:style>
  <w:style w:type="paragraph" w:customStyle="1" w:styleId="Koncepcija1">
    <w:name w:val="Koncepcija1"/>
    <w:basedOn w:val="prastasis"/>
    <w:rsid w:val="003E10AA"/>
    <w:pPr>
      <w:numPr>
        <w:numId w:val="2"/>
      </w:numPr>
      <w:jc w:val="both"/>
    </w:pPr>
  </w:style>
  <w:style w:type="character" w:customStyle="1" w:styleId="typewriter">
    <w:name w:val="typewriter"/>
    <w:basedOn w:val="Numatytasispastraiposriftas"/>
    <w:rsid w:val="003E10AA"/>
  </w:style>
  <w:style w:type="table" w:styleId="Lentelstinklelis">
    <w:name w:val="Table Grid"/>
    <w:basedOn w:val="prastojilentel"/>
    <w:uiPriority w:val="3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545C46"/>
    <w:rPr>
      <w:sz w:val="24"/>
      <w:lang w:val="lt-LT" w:eastAsia="en-US" w:bidi="ar-SA"/>
    </w:rPr>
  </w:style>
  <w:style w:type="character" w:customStyle="1" w:styleId="PagrindiniotekstotraukaDiagrama">
    <w:name w:val="Pagrindinio teksto įtrauka Diagrama"/>
    <w:basedOn w:val="Numatytasispastraiposriftas"/>
    <w:link w:val="Pagrindiniotekstotrauka"/>
    <w:rsid w:val="00545C46"/>
    <w:rPr>
      <w:sz w:val="24"/>
      <w:lang w:val="lt-LT" w:eastAsia="en-US" w:bidi="ar-SA"/>
    </w:rPr>
  </w:style>
  <w:style w:type="paragraph" w:styleId="Debesliotekstas">
    <w:name w:val="Balloon Text"/>
    <w:basedOn w:val="prastasis"/>
    <w:semiHidden/>
    <w:rsid w:val="00545C46"/>
    <w:rPr>
      <w:rFonts w:ascii="Tahoma" w:hAnsi="Tahoma" w:cs="Tahoma"/>
      <w:sz w:val="16"/>
      <w:szCs w:val="16"/>
    </w:rPr>
  </w:style>
  <w:style w:type="numbering" w:customStyle="1" w:styleId="LTstilius">
    <w:name w:val="LT stilius"/>
    <w:rsid w:val="00025680"/>
    <w:pPr>
      <w:numPr>
        <w:numId w:val="12"/>
      </w:numPr>
    </w:pPr>
  </w:style>
  <w:style w:type="paragraph" w:styleId="Paprastasistekstas">
    <w:name w:val="Plain Text"/>
    <w:basedOn w:val="prastasis"/>
    <w:link w:val="PaprastasistekstasDiagrama"/>
    <w:uiPriority w:val="99"/>
    <w:unhideWhenUsed/>
    <w:rsid w:val="00F248A4"/>
    <w:rPr>
      <w:rFonts w:ascii="Calibri" w:hAnsi="Calibri"/>
      <w:sz w:val="22"/>
      <w:szCs w:val="21"/>
      <w:lang w:eastAsia="lt-LT"/>
    </w:rPr>
  </w:style>
  <w:style w:type="character" w:customStyle="1" w:styleId="PaprastasistekstasDiagrama">
    <w:name w:val="Paprastasis tekstas Diagrama"/>
    <w:basedOn w:val="Numatytasispastraiposriftas"/>
    <w:link w:val="Paprastasistekstas"/>
    <w:uiPriority w:val="99"/>
    <w:rsid w:val="00F248A4"/>
    <w:rPr>
      <w:rFonts w:ascii="Calibri" w:hAnsi="Calibri"/>
      <w:sz w:val="22"/>
      <w:szCs w:val="21"/>
    </w:rPr>
  </w:style>
  <w:style w:type="paragraph" w:styleId="Sraopastraipa">
    <w:name w:val="List Paragraph"/>
    <w:aliases w:val="Table of contents numbered,Colorful List - Accent 11,List Paragraph1,Bullet EY,List Paragraph2,ERP-List Paragraph,List Paragraph11,List Paragraph Red,Buletai"/>
    <w:basedOn w:val="prastasis"/>
    <w:uiPriority w:val="34"/>
    <w:qFormat/>
    <w:rsid w:val="00FF4FE0"/>
    <w:pPr>
      <w:ind w:left="720"/>
      <w:contextualSpacing/>
    </w:pPr>
  </w:style>
  <w:style w:type="paragraph" w:customStyle="1" w:styleId="Tekstas">
    <w:name w:val="Tekstas"/>
    <w:basedOn w:val="prastasis"/>
    <w:rsid w:val="00636E85"/>
    <w:pPr>
      <w:jc w:val="both"/>
    </w:pPr>
    <w:rPr>
      <w:rFonts w:ascii="Thorndale" w:eastAsiaTheme="minorHAnsi" w:hAnsi="Thorndale" w:cs="Calibri"/>
      <w:color w:val="000000"/>
      <w:szCs w:val="24"/>
      <w:lang w:eastAsia="lt-LT"/>
    </w:rPr>
  </w:style>
  <w:style w:type="paragraph" w:styleId="Betarp">
    <w:name w:val="No Spacing"/>
    <w:uiPriority w:val="1"/>
    <w:qFormat/>
    <w:rsid w:val="00592B43"/>
    <w:rPr>
      <w:rFonts w:asciiTheme="minorHAnsi" w:eastAsiaTheme="minorHAnsi" w:hAnsiTheme="minorHAnsi" w:cstheme="minorBidi"/>
      <w:sz w:val="22"/>
      <w:szCs w:val="22"/>
      <w:lang w:val="en-GB" w:eastAsia="en-US"/>
    </w:rPr>
  </w:style>
  <w:style w:type="character" w:customStyle="1" w:styleId="UnresolvedMention">
    <w:name w:val="Unresolved Mention"/>
    <w:basedOn w:val="Numatytasispastraiposriftas"/>
    <w:uiPriority w:val="99"/>
    <w:semiHidden/>
    <w:unhideWhenUsed/>
    <w:rsid w:val="00FB6FB7"/>
    <w:rPr>
      <w:color w:val="605E5C"/>
      <w:shd w:val="clear" w:color="auto" w:fill="E1DFDD"/>
    </w:rPr>
  </w:style>
  <w:style w:type="table" w:customStyle="1" w:styleId="Lentelstinklelis1">
    <w:name w:val="Lentelės tinklelis1"/>
    <w:basedOn w:val="prastojilentel"/>
    <w:next w:val="Lentelstinklelis"/>
    <w:uiPriority w:val="39"/>
    <w:rsid w:val="0004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04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172">
      <w:bodyDiv w:val="1"/>
      <w:marLeft w:val="0"/>
      <w:marRight w:val="0"/>
      <w:marTop w:val="0"/>
      <w:marBottom w:val="0"/>
      <w:divBdr>
        <w:top w:val="none" w:sz="0" w:space="0" w:color="auto"/>
        <w:left w:val="none" w:sz="0" w:space="0" w:color="auto"/>
        <w:bottom w:val="none" w:sz="0" w:space="0" w:color="auto"/>
        <w:right w:val="none" w:sz="0" w:space="0" w:color="auto"/>
      </w:divBdr>
    </w:div>
    <w:div w:id="546724139">
      <w:bodyDiv w:val="1"/>
      <w:marLeft w:val="0"/>
      <w:marRight w:val="0"/>
      <w:marTop w:val="0"/>
      <w:marBottom w:val="0"/>
      <w:divBdr>
        <w:top w:val="none" w:sz="0" w:space="0" w:color="auto"/>
        <w:left w:val="none" w:sz="0" w:space="0" w:color="auto"/>
        <w:bottom w:val="none" w:sz="0" w:space="0" w:color="auto"/>
        <w:right w:val="none" w:sz="0" w:space="0" w:color="auto"/>
      </w:divBdr>
    </w:div>
    <w:div w:id="965084580">
      <w:bodyDiv w:val="1"/>
      <w:marLeft w:val="0"/>
      <w:marRight w:val="0"/>
      <w:marTop w:val="0"/>
      <w:marBottom w:val="0"/>
      <w:divBdr>
        <w:top w:val="none" w:sz="0" w:space="0" w:color="auto"/>
        <w:left w:val="none" w:sz="0" w:space="0" w:color="auto"/>
        <w:bottom w:val="none" w:sz="0" w:space="0" w:color="auto"/>
        <w:right w:val="none" w:sz="0" w:space="0" w:color="auto"/>
      </w:divBdr>
    </w:div>
    <w:div w:id="976036414">
      <w:bodyDiv w:val="1"/>
      <w:marLeft w:val="0"/>
      <w:marRight w:val="0"/>
      <w:marTop w:val="0"/>
      <w:marBottom w:val="0"/>
      <w:divBdr>
        <w:top w:val="none" w:sz="0" w:space="0" w:color="auto"/>
        <w:left w:val="none" w:sz="0" w:space="0" w:color="auto"/>
        <w:bottom w:val="none" w:sz="0" w:space="0" w:color="auto"/>
        <w:right w:val="none" w:sz="0" w:space="0" w:color="auto"/>
      </w:divBdr>
    </w:div>
    <w:div w:id="988094686">
      <w:bodyDiv w:val="1"/>
      <w:marLeft w:val="0"/>
      <w:marRight w:val="0"/>
      <w:marTop w:val="0"/>
      <w:marBottom w:val="0"/>
      <w:divBdr>
        <w:top w:val="none" w:sz="0" w:space="0" w:color="auto"/>
        <w:left w:val="none" w:sz="0" w:space="0" w:color="auto"/>
        <w:bottom w:val="none" w:sz="0" w:space="0" w:color="auto"/>
        <w:right w:val="none" w:sz="0" w:space="0" w:color="auto"/>
      </w:divBdr>
    </w:div>
    <w:div w:id="1157070724">
      <w:bodyDiv w:val="1"/>
      <w:marLeft w:val="0"/>
      <w:marRight w:val="0"/>
      <w:marTop w:val="0"/>
      <w:marBottom w:val="0"/>
      <w:divBdr>
        <w:top w:val="none" w:sz="0" w:space="0" w:color="auto"/>
        <w:left w:val="none" w:sz="0" w:space="0" w:color="auto"/>
        <w:bottom w:val="none" w:sz="0" w:space="0" w:color="auto"/>
        <w:right w:val="none" w:sz="0" w:space="0" w:color="auto"/>
      </w:divBdr>
    </w:div>
    <w:div w:id="1336494333">
      <w:bodyDiv w:val="1"/>
      <w:marLeft w:val="0"/>
      <w:marRight w:val="0"/>
      <w:marTop w:val="0"/>
      <w:marBottom w:val="0"/>
      <w:divBdr>
        <w:top w:val="none" w:sz="0" w:space="0" w:color="auto"/>
        <w:left w:val="none" w:sz="0" w:space="0" w:color="auto"/>
        <w:bottom w:val="none" w:sz="0" w:space="0" w:color="auto"/>
        <w:right w:val="none" w:sz="0" w:space="0" w:color="auto"/>
      </w:divBdr>
    </w:div>
    <w:div w:id="1355694352">
      <w:bodyDiv w:val="1"/>
      <w:marLeft w:val="0"/>
      <w:marRight w:val="0"/>
      <w:marTop w:val="0"/>
      <w:marBottom w:val="0"/>
      <w:divBdr>
        <w:top w:val="none" w:sz="0" w:space="0" w:color="auto"/>
        <w:left w:val="none" w:sz="0" w:space="0" w:color="auto"/>
        <w:bottom w:val="none" w:sz="0" w:space="0" w:color="auto"/>
        <w:right w:val="none" w:sz="0" w:space="0" w:color="auto"/>
      </w:divBdr>
    </w:div>
    <w:div w:id="1373534128">
      <w:bodyDiv w:val="1"/>
      <w:marLeft w:val="0"/>
      <w:marRight w:val="0"/>
      <w:marTop w:val="0"/>
      <w:marBottom w:val="0"/>
      <w:divBdr>
        <w:top w:val="none" w:sz="0" w:space="0" w:color="auto"/>
        <w:left w:val="none" w:sz="0" w:space="0" w:color="auto"/>
        <w:bottom w:val="none" w:sz="0" w:space="0" w:color="auto"/>
        <w:right w:val="none" w:sz="0" w:space="0" w:color="auto"/>
      </w:divBdr>
    </w:div>
    <w:div w:id="1860004321">
      <w:bodyDiv w:val="1"/>
      <w:marLeft w:val="0"/>
      <w:marRight w:val="0"/>
      <w:marTop w:val="0"/>
      <w:marBottom w:val="0"/>
      <w:divBdr>
        <w:top w:val="none" w:sz="0" w:space="0" w:color="auto"/>
        <w:left w:val="none" w:sz="0" w:space="0" w:color="auto"/>
        <w:bottom w:val="none" w:sz="0" w:space="0" w:color="auto"/>
        <w:right w:val="none" w:sz="0" w:space="0" w:color="auto"/>
      </w:divBdr>
    </w:div>
    <w:div w:id="1900819888">
      <w:bodyDiv w:val="1"/>
      <w:marLeft w:val="0"/>
      <w:marRight w:val="0"/>
      <w:marTop w:val="0"/>
      <w:marBottom w:val="0"/>
      <w:divBdr>
        <w:top w:val="none" w:sz="0" w:space="0" w:color="auto"/>
        <w:left w:val="none" w:sz="0" w:space="0" w:color="auto"/>
        <w:bottom w:val="none" w:sz="0" w:space="0" w:color="auto"/>
        <w:right w:val="none" w:sz="0" w:space="0" w:color="auto"/>
      </w:divBdr>
    </w:div>
    <w:div w:id="1901401797">
      <w:bodyDiv w:val="1"/>
      <w:marLeft w:val="225"/>
      <w:marRight w:val="225"/>
      <w:marTop w:val="0"/>
      <w:marBottom w:val="0"/>
      <w:divBdr>
        <w:top w:val="none" w:sz="0" w:space="0" w:color="auto"/>
        <w:left w:val="none" w:sz="0" w:space="0" w:color="auto"/>
        <w:bottom w:val="none" w:sz="0" w:space="0" w:color="auto"/>
        <w:right w:val="none" w:sz="0" w:space="0" w:color="auto"/>
      </w:divBdr>
      <w:divsChild>
        <w:div w:id="90145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2783-5AEE-4943-A28B-71FD8684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4297</Words>
  <Characters>24494</Characters>
  <Application>Microsoft Office Word</Application>
  <DocSecurity>0</DocSecurity>
  <Lines>204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lkjhlkjh</vt:lpstr>
      <vt:lpstr>lkjhlkjh</vt:lpstr>
    </vt:vector>
  </TitlesOfParts>
  <Company>Informatikos sk.</Company>
  <LinksUpToDate>false</LinksUpToDate>
  <CharactersWithSpaces>28734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lkjhlkjh</dc:title>
  <dc:creator>Vilniaus m. savivaldybe</dc:creator>
  <cp:lastModifiedBy>IndreV</cp:lastModifiedBy>
  <cp:revision>2</cp:revision>
  <cp:lastPrinted>2020-10-12T07:51:00Z</cp:lastPrinted>
  <dcterms:created xsi:type="dcterms:W3CDTF">2021-01-22T09:24:00Z</dcterms:created>
  <dcterms:modified xsi:type="dcterms:W3CDTF">2021-01-22T09:24:00Z</dcterms:modified>
</cp:coreProperties>
</file>